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lang w:eastAsia="zh-CN"/>
        </w:rPr>
      </w:pPr>
      <w:bookmarkStart w:id="0" w:name="_Hlk9544796"/>
      <w:r>
        <w:rPr>
          <w:rFonts w:hint="eastAsia" w:asciiTheme="majorEastAsia" w:hAnsiTheme="majorEastAsia" w:eastAsiaTheme="majorEastAsia"/>
          <w:b/>
          <w:bCs/>
          <w:color w:val="auto"/>
          <w:sz w:val="52"/>
          <w:szCs w:val="52"/>
          <w:highlight w:val="none"/>
          <w:lang w:eastAsia="zh-CN"/>
        </w:rPr>
        <w:t>安徽省</w:t>
      </w:r>
      <w:r>
        <w:rPr>
          <w:rFonts w:hint="eastAsia" w:asciiTheme="majorEastAsia" w:hAnsiTheme="majorEastAsia" w:eastAsiaTheme="majorEastAsia"/>
          <w:b/>
          <w:bCs/>
          <w:color w:val="auto"/>
          <w:sz w:val="52"/>
          <w:szCs w:val="52"/>
          <w:highlight w:val="none"/>
        </w:rPr>
        <w:t>政府采购</w:t>
      </w:r>
      <w:r>
        <w:rPr>
          <w:rFonts w:hint="eastAsia" w:asciiTheme="majorEastAsia" w:hAnsiTheme="majorEastAsia" w:eastAsiaTheme="maj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36"/>
          <w:highlight w:val="none"/>
        </w:rPr>
      </w:pP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年</w:t>
      </w: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月</w:t>
      </w:r>
      <w:r>
        <w:rPr>
          <w:rFonts w:asciiTheme="majorEastAsia" w:hAnsiTheme="majorEastAsia" w:eastAsiaTheme="maj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76"/>
      <w:bookmarkStart w:id="2" w:name="_Toc99301417"/>
      <w:bookmarkStart w:id="3" w:name="_Toc74227630"/>
      <w:bookmarkStart w:id="4" w:name="_Toc29264"/>
      <w:bookmarkStart w:id="5" w:name="_Toc2729"/>
      <w:r>
        <w:rPr>
          <w:rFonts w:ascii="Times New Roman" w:hAnsi="Times New Roman" w:eastAsia="宋体" w:cs="Times New Roman"/>
          <w:b/>
          <w:sz w:val="36"/>
          <w:szCs w:val="36"/>
          <w:highlight w:val="none"/>
        </w:rPr>
        <w:t>使用说明</w:t>
      </w:r>
      <w:bookmarkEnd w:id="1"/>
      <w:bookmarkEnd w:id="2"/>
      <w:bookmarkEnd w:id="3"/>
      <w:bookmarkEnd w:id="4"/>
      <w:bookmarkEnd w:id="5"/>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2.条款中以“□”形式标记的内容，为采购人或采购代理机构需要确定的选项。编制单一来源采购文件时，适用于本项目的选项标记为“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28"/>
          <w:highlight w:val="none"/>
        </w:rPr>
      </w:pPr>
      <w:r>
        <w:rPr>
          <w:rFonts w:hint="eastAsia" w:asciiTheme="majorEastAsia" w:hAnsiTheme="majorEastAsia" w:eastAsiaTheme="majorEastAsia"/>
          <w:b/>
          <w:color w:val="auto"/>
          <w:sz w:val="28"/>
          <w:highlight w:val="none"/>
        </w:rPr>
        <w:t>目  录</w:t>
      </w:r>
    </w:p>
    <w:p>
      <w:pPr>
        <w:pStyle w:val="14"/>
        <w:tabs>
          <w:tab w:val="right" w:leader="dot" w:pos="8279"/>
        </w:tabs>
      </w:pPr>
      <w:r>
        <w:rPr>
          <w:rFonts w:asciiTheme="majorEastAsia" w:hAnsiTheme="majorEastAsia" w:eastAsiaTheme="majorEastAsia"/>
          <w:b/>
          <w:bCs/>
          <w:color w:val="auto"/>
          <w:sz w:val="24"/>
          <w:szCs w:val="24"/>
          <w:highlight w:val="none"/>
        </w:rPr>
        <w:fldChar w:fldCharType="begin"/>
      </w:r>
      <w:r>
        <w:rPr>
          <w:rFonts w:asciiTheme="majorEastAsia" w:hAnsiTheme="majorEastAsia" w:eastAsiaTheme="majorEastAsia"/>
          <w:b/>
          <w:bCs/>
          <w:color w:val="auto"/>
          <w:sz w:val="24"/>
          <w:szCs w:val="24"/>
          <w:highlight w:val="none"/>
        </w:rPr>
        <w:instrText xml:space="preserve"> </w:instrText>
      </w:r>
      <w:r>
        <w:rPr>
          <w:rFonts w:hint="eastAsia" w:asciiTheme="majorEastAsia" w:hAnsiTheme="majorEastAsia" w:eastAsiaTheme="majorEastAsia"/>
          <w:b/>
          <w:bCs/>
          <w:color w:val="auto"/>
          <w:sz w:val="24"/>
          <w:szCs w:val="24"/>
          <w:highlight w:val="none"/>
        </w:rPr>
        <w:instrText xml:space="preserve">TOC \o "1-2" \h \z \u</w:instrText>
      </w:r>
      <w:r>
        <w:rPr>
          <w:rFonts w:asciiTheme="majorEastAsia" w:hAnsiTheme="majorEastAsia" w:eastAsiaTheme="majorEastAsia"/>
          <w:b/>
          <w:bCs/>
          <w:color w:val="auto"/>
          <w:sz w:val="24"/>
          <w:szCs w:val="24"/>
          <w:highlight w:val="none"/>
        </w:rPr>
        <w:instrText xml:space="preserve"> </w:instrText>
      </w:r>
      <w:r>
        <w:rPr>
          <w:rFonts w:asciiTheme="majorEastAsia" w:hAnsiTheme="majorEastAsia" w:eastAsiaTheme="majorEastAsia"/>
          <w:b/>
          <w:bCs/>
          <w:color w:val="auto"/>
          <w:sz w:val="24"/>
          <w:szCs w:val="24"/>
          <w:highlight w:val="none"/>
        </w:rPr>
        <w:fldChar w:fldCharType="separate"/>
      </w: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_Toc22924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第一章 </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单一来源采购</w:t>
      </w:r>
      <w:r>
        <w:rPr>
          <w:rFonts w:asciiTheme="majorEastAsia" w:hAnsiTheme="majorEastAsia" w:eastAsiaTheme="majorEastAsia"/>
          <w:highlight w:val="none"/>
        </w:rPr>
        <w:t>邀请</w:t>
      </w:r>
      <w:r>
        <w:tab/>
      </w:r>
      <w:r>
        <w:fldChar w:fldCharType="begin"/>
      </w:r>
      <w:r>
        <w:instrText xml:space="preserve"> PAGEREF _Toc22924 \h </w:instrText>
      </w:r>
      <w:r>
        <w:fldChar w:fldCharType="separate"/>
      </w:r>
      <w:r>
        <w:t>1</w:t>
      </w:r>
      <w:r>
        <w:fldChar w:fldCharType="end"/>
      </w:r>
      <w:r>
        <w:rPr>
          <w:rFonts w:asciiTheme="majorEastAsia" w:hAnsiTheme="majorEastAsia" w:eastAsiaTheme="majorEastAsia"/>
          <w:bCs/>
          <w:color w:val="auto"/>
          <w:szCs w:val="24"/>
          <w:highlight w:val="none"/>
        </w:rPr>
        <w:fldChar w:fldCharType="end"/>
      </w:r>
    </w:p>
    <w:p>
      <w:pPr>
        <w:pStyle w:val="14"/>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_Toc30438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第二章</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 xml:space="preserve"> 供应商</w:t>
      </w:r>
      <w:r>
        <w:rPr>
          <w:rFonts w:asciiTheme="majorEastAsia" w:hAnsiTheme="majorEastAsia" w:eastAsiaTheme="majorEastAsia"/>
          <w:highlight w:val="none"/>
        </w:rPr>
        <w:t>须知</w:t>
      </w:r>
      <w:r>
        <w:tab/>
      </w:r>
      <w:r>
        <w:fldChar w:fldCharType="begin"/>
      </w:r>
      <w:r>
        <w:instrText xml:space="preserve"> PAGEREF _Toc30438 \h </w:instrText>
      </w:r>
      <w:r>
        <w:fldChar w:fldCharType="separate"/>
      </w:r>
      <w:r>
        <w:t>3</w:t>
      </w:r>
      <w:r>
        <w:fldChar w:fldCharType="end"/>
      </w:r>
      <w:r>
        <w:rPr>
          <w:rFonts w:asciiTheme="majorEastAsia" w:hAnsiTheme="majorEastAsia" w:eastAsiaTheme="majorEastAsia"/>
          <w:bCs/>
          <w:color w:val="auto"/>
          <w:szCs w:val="24"/>
          <w:highlight w:val="none"/>
        </w:rPr>
        <w:fldChar w:fldCharType="end"/>
      </w:r>
    </w:p>
    <w:p>
      <w:pPr>
        <w:pStyle w:val="14"/>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_Toc23511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第三章  采购需求</w:t>
      </w:r>
      <w:bookmarkStart w:id="254" w:name="_GoBack"/>
      <w:bookmarkEnd w:id="254"/>
      <w:r>
        <w:tab/>
      </w:r>
      <w:r>
        <w:fldChar w:fldCharType="begin"/>
      </w:r>
      <w:r>
        <w:instrText xml:space="preserve"> PAGEREF _Toc23511 \h </w:instrText>
      </w:r>
      <w:r>
        <w:fldChar w:fldCharType="separate"/>
      </w:r>
      <w:r>
        <w:t>11</w:t>
      </w:r>
      <w:r>
        <w:fldChar w:fldCharType="end"/>
      </w:r>
      <w:r>
        <w:rPr>
          <w:rFonts w:asciiTheme="majorEastAsia" w:hAnsiTheme="majorEastAsia" w:eastAsiaTheme="majorEastAsia"/>
          <w:bCs/>
          <w:color w:val="auto"/>
          <w:szCs w:val="24"/>
          <w:highlight w:val="none"/>
        </w:rPr>
        <w:fldChar w:fldCharType="end"/>
      </w:r>
    </w:p>
    <w:p>
      <w:pPr>
        <w:pStyle w:val="14"/>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_Toc2154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第四章  协商程序和评审标准</w:t>
      </w:r>
      <w:r>
        <w:tab/>
      </w:r>
      <w:r>
        <w:fldChar w:fldCharType="begin"/>
      </w:r>
      <w:r>
        <w:instrText xml:space="preserve"> PAGEREF _Toc2154 \h </w:instrText>
      </w:r>
      <w:r>
        <w:fldChar w:fldCharType="separate"/>
      </w:r>
      <w:r>
        <w:t>13</w:t>
      </w:r>
      <w:r>
        <w:fldChar w:fldCharType="end"/>
      </w:r>
      <w:r>
        <w:rPr>
          <w:rFonts w:asciiTheme="majorEastAsia" w:hAnsiTheme="majorEastAsia" w:eastAsiaTheme="majorEastAsia"/>
          <w:bCs/>
          <w:color w:val="auto"/>
          <w:szCs w:val="24"/>
          <w:highlight w:val="none"/>
        </w:rPr>
        <w:fldChar w:fldCharType="end"/>
      </w:r>
    </w:p>
    <w:p>
      <w:pPr>
        <w:pStyle w:val="14"/>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_Toc24479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第五章  </w:t>
      </w:r>
      <w:r>
        <w:rPr>
          <w:rFonts w:asciiTheme="majorEastAsia" w:hAnsiTheme="majorEastAsia" w:eastAsiaTheme="majorEastAsia"/>
          <w:highlight w:val="none"/>
        </w:rPr>
        <w:t>政府采购合同</w:t>
      </w:r>
      <w:r>
        <w:tab/>
      </w:r>
      <w:r>
        <w:fldChar w:fldCharType="begin"/>
      </w:r>
      <w:r>
        <w:instrText xml:space="preserve"> PAGEREF _Toc24479 \h </w:instrText>
      </w:r>
      <w:r>
        <w:fldChar w:fldCharType="separate"/>
      </w:r>
      <w:r>
        <w:t>15</w:t>
      </w:r>
      <w:r>
        <w:fldChar w:fldCharType="end"/>
      </w:r>
      <w:r>
        <w:rPr>
          <w:rFonts w:asciiTheme="majorEastAsia" w:hAnsiTheme="majorEastAsia" w:eastAsiaTheme="majorEastAsia"/>
          <w:bCs/>
          <w:color w:val="auto"/>
          <w:szCs w:val="24"/>
          <w:highlight w:val="none"/>
        </w:rPr>
        <w:fldChar w:fldCharType="end"/>
      </w:r>
    </w:p>
    <w:p>
      <w:pPr>
        <w:pStyle w:val="14"/>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_Toc31831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第六章  响应文件格式</w:t>
      </w:r>
      <w:r>
        <w:tab/>
      </w:r>
      <w:r>
        <w:fldChar w:fldCharType="begin"/>
      </w:r>
      <w:r>
        <w:instrText xml:space="preserve"> PAGEREF _Toc31831 \h </w:instrText>
      </w:r>
      <w:r>
        <w:fldChar w:fldCharType="separate"/>
      </w:r>
      <w:r>
        <w:t>25</w:t>
      </w:r>
      <w:r>
        <w:fldChar w:fldCharType="end"/>
      </w:r>
      <w:r>
        <w:rPr>
          <w:rFonts w:asciiTheme="majorEastAsia" w:hAnsiTheme="majorEastAsia" w:eastAsiaTheme="majorEastAsia"/>
          <w:bCs/>
          <w:color w:val="auto"/>
          <w:szCs w:val="24"/>
          <w:highlight w:val="none"/>
        </w:rPr>
        <w:fldChar w:fldCharType="end"/>
      </w:r>
    </w:p>
    <w:p>
      <w:pPr>
        <w:spacing w:line="360" w:lineRule="auto"/>
        <w:rPr>
          <w:rFonts w:asciiTheme="majorEastAsia" w:hAnsiTheme="majorEastAsia" w:eastAsiaTheme="majorEastAsia"/>
          <w:b/>
          <w:color w:val="auto"/>
          <w:sz w:val="32"/>
          <w:highlight w:val="none"/>
        </w:rPr>
      </w:pPr>
      <w:r>
        <w:rPr>
          <w:rFonts w:asciiTheme="majorEastAsia" w:hAnsiTheme="majorEastAsia" w:eastAsiaTheme="majorEastAsia"/>
          <w:bCs/>
          <w:color w:val="auto"/>
          <w:szCs w:val="24"/>
          <w:highlight w:val="none"/>
        </w:rPr>
        <w:fldChar w:fldCharType="end"/>
      </w:r>
    </w:p>
    <w:p>
      <w:pPr>
        <w:spacing w:line="360" w:lineRule="auto"/>
        <w:jc w:val="center"/>
        <w:outlineLvl w:val="1"/>
        <w:rPr>
          <w:rFonts w:asciiTheme="majorEastAsia" w:hAnsiTheme="majorEastAsia" w:eastAsiaTheme="maj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ajorEastAsia" w:hAnsiTheme="majorEastAsia" w:eastAsiaTheme="majorEastAsia"/>
          <w:b/>
          <w:color w:val="auto"/>
          <w:sz w:val="28"/>
          <w:highlight w:val="none"/>
        </w:rPr>
      </w:pPr>
      <w:bookmarkStart w:id="6" w:name="_Toc22924"/>
      <w:r>
        <w:rPr>
          <w:rFonts w:hint="eastAsia" w:asciiTheme="majorEastAsia" w:hAnsiTheme="majorEastAsia" w:eastAsiaTheme="majorEastAsia"/>
          <w:b/>
          <w:color w:val="auto"/>
          <w:sz w:val="28"/>
          <w:highlight w:val="none"/>
        </w:rPr>
        <w:t xml:space="preserve">第一章 </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单一来源采购</w:t>
      </w:r>
      <w:r>
        <w:rPr>
          <w:rFonts w:asciiTheme="majorEastAsia" w:hAnsiTheme="majorEastAsia" w:eastAsiaTheme="majorEastAsia"/>
          <w:b/>
          <w:color w:val="auto"/>
          <w:sz w:val="28"/>
          <w:highlight w:val="none"/>
        </w:rPr>
        <w:t>邀请</w:t>
      </w:r>
      <w:bookmarkEnd w:id="6"/>
    </w:p>
    <w:p>
      <w:pPr>
        <w:spacing w:line="360" w:lineRule="auto"/>
        <w:ind w:firstLine="435"/>
        <w:outlineLvl w:val="1"/>
        <w:rPr>
          <w:rFonts w:asciiTheme="majorEastAsia" w:hAnsiTheme="majorEastAsia" w:eastAsiaTheme="majorEastAsia"/>
          <w:b/>
          <w:bCs/>
          <w:color w:val="auto"/>
          <w:sz w:val="24"/>
          <w:szCs w:val="18"/>
          <w:highlight w:val="none"/>
        </w:rPr>
      </w:pPr>
      <w:bookmarkStart w:id="7" w:name="_Toc23479"/>
      <w:bookmarkStart w:id="8" w:name="_Toc7389"/>
      <w:bookmarkStart w:id="9" w:name="_Toc9373"/>
      <w:bookmarkStart w:id="10" w:name="_Toc1681"/>
      <w:r>
        <w:rPr>
          <w:rFonts w:hint="eastAsia" w:asciiTheme="majorEastAsia" w:hAnsiTheme="majorEastAsia" w:eastAsiaTheme="majorEastAsia"/>
          <w:b/>
          <w:bCs/>
          <w:color w:val="auto"/>
          <w:sz w:val="24"/>
          <w:szCs w:val="18"/>
          <w:highlight w:val="none"/>
        </w:rPr>
        <w:t>一</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项目名称及内容</w:t>
      </w:r>
      <w:bookmarkEnd w:id="7"/>
      <w:bookmarkEnd w:id="8"/>
      <w:bookmarkEnd w:id="9"/>
      <w:bookmarkEnd w:id="10"/>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ajorEastAsia" w:hAnsiTheme="majorEastAsia" w:eastAsiaTheme="majorEastAsia"/>
          <w:b/>
          <w:bCs/>
          <w:color w:val="auto"/>
          <w:sz w:val="24"/>
          <w:szCs w:val="18"/>
          <w:highlight w:val="none"/>
        </w:rPr>
      </w:pPr>
      <w:bookmarkStart w:id="11" w:name="_Toc1636"/>
      <w:bookmarkStart w:id="12" w:name="_Toc17493"/>
      <w:bookmarkStart w:id="13" w:name="_Toc19903"/>
      <w:bookmarkStart w:id="14" w:name="_Toc6562"/>
      <w:r>
        <w:rPr>
          <w:rFonts w:hint="eastAsia" w:asciiTheme="majorEastAsia" w:hAnsiTheme="majorEastAsia" w:eastAsiaTheme="majorEastAsia"/>
          <w:b/>
          <w:bCs/>
          <w:color w:val="auto"/>
          <w:sz w:val="24"/>
          <w:szCs w:val="18"/>
          <w:highlight w:val="none"/>
        </w:rPr>
        <w:t>二</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采购文件的获取</w:t>
      </w:r>
      <w:bookmarkEnd w:id="11"/>
      <w:bookmarkEnd w:id="12"/>
      <w:bookmarkEnd w:id="13"/>
      <w:bookmarkEnd w:id="14"/>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5" w:name="_Toc31820"/>
      <w:bookmarkStart w:id="16" w:name="_Toc26365"/>
      <w:bookmarkStart w:id="17" w:name="_Toc19837"/>
      <w:bookmarkStart w:id="18" w:name="_Toc7295"/>
      <w:r>
        <w:rPr>
          <w:rFonts w:hint="eastAsia" w:asciiTheme="majorEastAsia" w:hAnsiTheme="majorEastAsia" w:eastAsiaTheme="majorEastAsia"/>
          <w:b/>
          <w:bCs/>
          <w:color w:val="auto"/>
          <w:sz w:val="24"/>
          <w:szCs w:val="18"/>
          <w:highlight w:val="none"/>
        </w:rPr>
        <w:t>三</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协商时间及地点</w:t>
      </w:r>
      <w:bookmarkEnd w:id="15"/>
      <w:bookmarkEnd w:id="16"/>
      <w:bookmarkEnd w:id="17"/>
      <w:bookmarkEnd w:id="18"/>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9" w:name="_Toc20372"/>
      <w:bookmarkStart w:id="20" w:name="_Toc26206"/>
      <w:bookmarkStart w:id="21" w:name="_Toc23875"/>
      <w:bookmarkStart w:id="22" w:name="_Toc103"/>
      <w:r>
        <w:rPr>
          <w:rFonts w:hint="eastAsia" w:asciiTheme="majorEastAsia" w:hAnsiTheme="majorEastAsia" w:eastAsiaTheme="majorEastAsia"/>
          <w:b/>
          <w:bCs/>
          <w:color w:val="auto"/>
          <w:sz w:val="24"/>
          <w:szCs w:val="18"/>
          <w:highlight w:val="none"/>
        </w:rPr>
        <w:t>四</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响应文件提交截止时间及提交地点</w:t>
      </w:r>
      <w:bookmarkEnd w:id="19"/>
      <w:bookmarkEnd w:id="20"/>
      <w:bookmarkEnd w:id="21"/>
      <w:bookmarkEnd w:id="22"/>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23" w:name="_Toc31732"/>
      <w:bookmarkStart w:id="24" w:name="_Toc16290"/>
      <w:bookmarkStart w:id="25" w:name="_Toc27941"/>
      <w:r>
        <w:rPr>
          <w:rFonts w:hint="eastAsia" w:asciiTheme="majorEastAsia" w:hAnsiTheme="majorEastAsia" w:eastAsiaTheme="majorEastAsia"/>
          <w:b/>
          <w:bCs/>
          <w:color w:val="auto"/>
          <w:sz w:val="24"/>
          <w:szCs w:val="18"/>
          <w:highlight w:val="none"/>
          <w:lang w:val="en-US" w:eastAsia="zh-CN"/>
        </w:rPr>
        <w:t>五、</w:t>
      </w:r>
      <w:bookmarkStart w:id="26" w:name="_Toc35393804"/>
      <w:bookmarkStart w:id="27" w:name="_Toc35393635"/>
      <w:r>
        <w:rPr>
          <w:rFonts w:hint="eastAsia" w:asciiTheme="majorEastAsia" w:hAnsiTheme="majorEastAsia" w:eastAsiaTheme="majorEastAsia"/>
          <w:b/>
          <w:bCs/>
          <w:color w:val="auto"/>
          <w:sz w:val="24"/>
          <w:szCs w:val="18"/>
          <w:highlight w:val="none"/>
        </w:rPr>
        <w:t>其他补充事宜</w:t>
      </w:r>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28" w:name="_Toc25279"/>
      <w:bookmarkStart w:id="29" w:name="_Toc4317"/>
      <w:bookmarkStart w:id="30" w:name="_Toc26469"/>
      <w:bookmarkStart w:id="31" w:name="_Toc958"/>
      <w:r>
        <w:rPr>
          <w:rFonts w:hint="eastAsia" w:asciiTheme="majorEastAsia" w:hAnsiTheme="majorEastAsia" w:eastAsiaTheme="majorEastAsia"/>
          <w:b/>
          <w:bCs/>
          <w:color w:val="auto"/>
          <w:sz w:val="24"/>
          <w:szCs w:val="18"/>
          <w:highlight w:val="none"/>
          <w:lang w:val="en-US" w:eastAsia="zh-CN"/>
        </w:rPr>
        <w:t>六、联系方式</w:t>
      </w:r>
      <w:bookmarkEnd w:id="28"/>
      <w:bookmarkEnd w:id="29"/>
      <w:bookmarkEnd w:id="30"/>
      <w:bookmarkEnd w:id="31"/>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ajorEastAsia" w:hAnsiTheme="majorEastAsia" w:eastAsiaTheme="majorEastAsia"/>
          <w:color w:val="auto"/>
          <w:sz w:val="24"/>
          <w:szCs w:val="18"/>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32" w:name="_Toc30438"/>
      <w:bookmarkStart w:id="33" w:name="_Toc736"/>
      <w:bookmarkStart w:id="34" w:name="_Toc3816"/>
      <w:bookmarkStart w:id="35" w:name="_Toc14253"/>
      <w:r>
        <w:rPr>
          <w:rFonts w:hint="eastAsia" w:asciiTheme="majorEastAsia" w:hAnsiTheme="majorEastAsia" w:eastAsiaTheme="majorEastAsia"/>
          <w:b/>
          <w:color w:val="auto"/>
          <w:sz w:val="28"/>
          <w:highlight w:val="none"/>
        </w:rPr>
        <w:t>第二章</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 xml:space="preserve"> 供应商</w:t>
      </w:r>
      <w:r>
        <w:rPr>
          <w:rFonts w:asciiTheme="majorEastAsia" w:hAnsiTheme="majorEastAsia" w:eastAsiaTheme="majorEastAsia"/>
          <w:b/>
          <w:color w:val="auto"/>
          <w:sz w:val="28"/>
          <w:highlight w:val="none"/>
        </w:rPr>
        <w:t>须知</w:t>
      </w:r>
      <w:bookmarkEnd w:id="32"/>
    </w:p>
    <w:p>
      <w:pPr>
        <w:spacing w:line="360" w:lineRule="auto"/>
        <w:jc w:val="center"/>
        <w:outlineLvl w:val="1"/>
        <w:rPr>
          <w:rFonts w:asciiTheme="majorEastAsia" w:hAnsiTheme="majorEastAsia" w:eastAsiaTheme="majorEastAsia"/>
          <w:b/>
          <w:color w:val="auto"/>
          <w:sz w:val="24"/>
          <w:highlight w:val="none"/>
        </w:rPr>
      </w:pPr>
      <w:bookmarkStart w:id="36" w:name="_Toc20552"/>
      <w:r>
        <w:rPr>
          <w:rFonts w:hint="eastAsia" w:asciiTheme="majorEastAsia" w:hAnsiTheme="majorEastAsia" w:eastAsiaTheme="majorEastAsia"/>
          <w:b/>
          <w:color w:val="auto"/>
          <w:sz w:val="24"/>
          <w:highlight w:val="none"/>
        </w:rPr>
        <w:t>一、供应商</w:t>
      </w:r>
      <w:r>
        <w:rPr>
          <w:rFonts w:asciiTheme="majorEastAsia" w:hAnsiTheme="majorEastAsia" w:eastAsiaTheme="majorEastAsia"/>
          <w:b/>
          <w:color w:val="auto"/>
          <w:sz w:val="24"/>
          <w:highlight w:val="none"/>
        </w:rPr>
        <w:t>须知前附表</w:t>
      </w:r>
      <w:bookmarkEnd w:id="33"/>
      <w:bookmarkEnd w:id="34"/>
      <w:bookmarkEnd w:id="35"/>
      <w:bookmarkEnd w:id="36"/>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b/>
          <w:bCs/>
          <w:color w:val="auto"/>
          <w:sz w:val="24"/>
          <w:szCs w:val="18"/>
          <w:highlight w:val="none"/>
        </w:rPr>
        <w:t>注：</w:t>
      </w:r>
      <w:r>
        <w:rPr>
          <w:rFonts w:hint="eastAsia" w:asciiTheme="majorEastAsia" w:hAnsiTheme="majorEastAsia" w:eastAsiaTheme="majorEastAsia"/>
          <w:color w:val="auto"/>
          <w:sz w:val="24"/>
          <w:szCs w:val="18"/>
          <w:highlight w:val="none"/>
        </w:rPr>
        <w:t>本表是本项目的具体要求，是对供应商须知的具体补充和修改，如有不一致，以本表为准。</w:t>
      </w:r>
    </w:p>
    <w:tbl>
      <w:tblPr>
        <w:tblStyle w:val="19"/>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条款号</w:t>
            </w:r>
          </w:p>
        </w:tc>
        <w:tc>
          <w:tcPr>
            <w:tcW w:w="1160" w:type="pct"/>
            <w:vAlign w:val="center"/>
          </w:tcPr>
          <w:p>
            <w:pPr>
              <w:pStyle w:val="27"/>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条款名称</w:t>
            </w:r>
          </w:p>
        </w:tc>
        <w:tc>
          <w:tcPr>
            <w:tcW w:w="3267" w:type="pct"/>
            <w:vAlign w:val="center"/>
          </w:tcPr>
          <w:p>
            <w:pPr>
              <w:pStyle w:val="27"/>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widowControl w:val="0"/>
              <w:spacing w:before="0" w:beforeAutospacing="0" w:after="0" w:afterAutospacing="0"/>
              <w:rPr>
                <w:rFonts w:hint="default" w:asciiTheme="majorEastAsia" w:hAnsiTheme="majorEastAsia" w:eastAsiaTheme="majorEastAsia"/>
                <w:bCs w:val="0"/>
                <w:color w:val="auto"/>
                <w:kern w:val="2"/>
                <w:sz w:val="24"/>
                <w:szCs w:val="20"/>
                <w:highlight w:val="none"/>
                <w:lang w:val="en-US" w:eastAsia="zh-CN"/>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27"/>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ascii="宋体" w:hAnsi="宋体" w:eastAsia="宋体"/>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ascii="宋体" w:hAnsi="宋体" w:eastAsia="宋体"/>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2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2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2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9"/>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37" w:name="_Toc11409"/>
      <w:bookmarkStart w:id="38" w:name="_Toc7802"/>
      <w:bookmarkStart w:id="39" w:name="_Toc28529"/>
      <w:bookmarkStart w:id="40" w:name="_Toc25731"/>
      <w:r>
        <w:rPr>
          <w:rFonts w:hint="eastAsia" w:asciiTheme="majorEastAsia" w:hAnsiTheme="majorEastAsia" w:eastAsiaTheme="majorEastAsia"/>
          <w:b/>
          <w:color w:val="auto"/>
          <w:sz w:val="24"/>
          <w:highlight w:val="none"/>
        </w:rPr>
        <w:t>二、供应商</w:t>
      </w:r>
      <w:r>
        <w:rPr>
          <w:rFonts w:asciiTheme="majorEastAsia" w:hAnsiTheme="majorEastAsia" w:eastAsiaTheme="majorEastAsia"/>
          <w:b/>
          <w:color w:val="auto"/>
          <w:sz w:val="24"/>
          <w:highlight w:val="none"/>
        </w:rPr>
        <w:t>须知</w:t>
      </w:r>
      <w:r>
        <w:rPr>
          <w:rFonts w:hint="eastAsia" w:asciiTheme="majorEastAsia" w:hAnsiTheme="majorEastAsia" w:eastAsiaTheme="majorEastAsia"/>
          <w:b/>
          <w:color w:val="auto"/>
          <w:sz w:val="24"/>
          <w:highlight w:val="none"/>
        </w:rPr>
        <w:t>正文</w:t>
      </w:r>
      <w:bookmarkEnd w:id="37"/>
      <w:bookmarkEnd w:id="38"/>
      <w:bookmarkEnd w:id="39"/>
      <w:bookmarkEnd w:id="40"/>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采购人、采购代理机构及供应商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.1采购人：是指依法开展政府采购活动的国家机关、事业单位、团体组织。</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.2采购代理机构：是指集中采购机构或从事采购代理业务的社会中介机构。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.3政府采购监督管理部门：</w:t>
      </w:r>
      <w:r>
        <w:rPr>
          <w:rFonts w:hint="eastAsia" w:asciiTheme="majorEastAsia" w:hAnsiTheme="majorEastAsia" w:eastAsiaTheme="majorEastAsia"/>
          <w:color w:val="auto"/>
          <w:sz w:val="24"/>
          <w:highlight w:val="none"/>
        </w:rPr>
        <w:t>各级人民政府指定的有关部门依法履行与政府采购活动有关的监督管理职责。</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：是指向采购人提供货物、工程或者服务的法人、非法人组织或者自然人。</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资金来源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本项目的采购人已获得足以支付本次单一来源采购所签订的合同项下的资金。</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费用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适用法律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5</w:t>
      </w:r>
      <w:r>
        <w:rPr>
          <w:rFonts w:hint="eastAsia" w:asciiTheme="majorEastAsia" w:hAnsiTheme="majorEastAsia" w:eastAsiaTheme="majorEastAsia"/>
          <w:color w:val="auto"/>
          <w:sz w:val="24"/>
          <w:highlight w:val="none"/>
        </w:rPr>
        <w:t>.1采购文件包括下列内容：</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第一章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邀请</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第二章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须知</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第三章</w:t>
      </w:r>
      <w:r>
        <w:rPr>
          <w:rFonts w:asciiTheme="majorEastAsia" w:hAnsiTheme="majorEastAsia" w:eastAsiaTheme="majorEastAsia"/>
          <w:color w:val="auto"/>
          <w:sz w:val="24"/>
          <w:highlight w:val="none"/>
        </w:rPr>
        <w:t xml:space="preserve">  采购需求</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第四章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协商程序</w:t>
      </w:r>
      <w:r>
        <w:rPr>
          <w:rFonts w:asciiTheme="majorEastAsia" w:hAnsiTheme="majorEastAsia" w:eastAsiaTheme="majorEastAsia"/>
          <w:color w:val="auto"/>
          <w:sz w:val="24"/>
          <w:highlight w:val="none"/>
        </w:rPr>
        <w:t>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标准</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第五章</w:t>
      </w:r>
      <w:r>
        <w:rPr>
          <w:rFonts w:asciiTheme="majorEastAsia" w:hAnsiTheme="majorEastAsia" w:eastAsiaTheme="majorEastAsia"/>
          <w:color w:val="auto"/>
          <w:sz w:val="24"/>
          <w:highlight w:val="none"/>
        </w:rPr>
        <w:t xml:space="preserve">  政府采购合同</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第六章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采购文件的澄清与修改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采购人可主动地或在解答供应商提出的问题时对采购文件进行澄清与修改。采购代理机构对已发出的采购文件进行必要澄清或者修改的，将以书面形式通知供应商。澄清或者修改文件作为单一来源采购文件的组成部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hint="eastAsia" w:asciiTheme="majorEastAsia" w:hAnsiTheme="majorEastAsia" w:eastAsiaTheme="maj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ajorEastAsia" w:hAnsiTheme="majorEastAsia" w:eastAsiaTheme="majorEastAsia"/>
          <w:i/>
          <w:iCs/>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对于没有提出</w:t>
      </w:r>
      <w:r>
        <w:rPr>
          <w:rFonts w:hint="eastAsia" w:asciiTheme="majorEastAsia" w:hAnsiTheme="majorEastAsia" w:eastAsiaTheme="majorEastAsia"/>
          <w:color w:val="auto"/>
          <w:sz w:val="24"/>
          <w:highlight w:val="none"/>
        </w:rPr>
        <w:t>疑问</w:t>
      </w:r>
      <w:r>
        <w:rPr>
          <w:rFonts w:asciiTheme="majorEastAsia" w:hAnsiTheme="majorEastAsia" w:eastAsiaTheme="majorEastAsia"/>
          <w:color w:val="auto"/>
          <w:sz w:val="24"/>
          <w:highlight w:val="none"/>
        </w:rPr>
        <w:t>又参与了</w:t>
      </w:r>
      <w:r>
        <w:rPr>
          <w:rFonts w:hint="eastAsia" w:asciiTheme="majorEastAsia" w:hAnsiTheme="majorEastAsia" w:eastAsiaTheme="majorEastAsia"/>
          <w:color w:val="auto"/>
          <w:sz w:val="24"/>
          <w:highlight w:val="none"/>
        </w:rPr>
        <w:t>本</w:t>
      </w:r>
      <w:r>
        <w:rPr>
          <w:rFonts w:asciiTheme="majorEastAsia" w:hAnsiTheme="majorEastAsia" w:eastAsiaTheme="majorEastAsia"/>
          <w:color w:val="auto"/>
          <w:sz w:val="24"/>
          <w:highlight w:val="none"/>
        </w:rPr>
        <w:t>项目</w:t>
      </w:r>
      <w:r>
        <w:rPr>
          <w:rFonts w:hint="eastAsia" w:asciiTheme="majorEastAsia" w:hAnsiTheme="majorEastAsia" w:eastAsiaTheme="majorEastAsia"/>
          <w:color w:val="auto"/>
          <w:sz w:val="24"/>
          <w:highlight w:val="none"/>
        </w:rPr>
        <w:t>的供应商</w:t>
      </w:r>
      <w:r>
        <w:rPr>
          <w:rFonts w:asciiTheme="majorEastAsia" w:hAnsiTheme="majorEastAsia" w:eastAsiaTheme="majorEastAsia"/>
          <w:color w:val="auto"/>
          <w:sz w:val="24"/>
          <w:highlight w:val="none"/>
        </w:rPr>
        <w:t>将被视为完全认同</w:t>
      </w:r>
      <w:r>
        <w:rPr>
          <w:rFonts w:hint="eastAsia" w:asciiTheme="majorEastAsia" w:hAnsiTheme="majorEastAsia" w:eastAsiaTheme="majorEastAsia"/>
          <w:color w:val="auto"/>
          <w:sz w:val="24"/>
          <w:highlight w:val="none"/>
        </w:rPr>
        <w:t>本采购</w:t>
      </w:r>
      <w:r>
        <w:rPr>
          <w:rFonts w:asciiTheme="majorEastAsia" w:hAnsiTheme="majorEastAsia" w:eastAsiaTheme="majorEastAsia"/>
          <w:color w:val="auto"/>
          <w:sz w:val="24"/>
          <w:highlight w:val="none"/>
        </w:rPr>
        <w:t>文件（含</w:t>
      </w:r>
      <w:r>
        <w:rPr>
          <w:rFonts w:hint="eastAsia" w:asciiTheme="majorEastAsia" w:hAnsiTheme="majorEastAsia" w:eastAsiaTheme="majorEastAsia"/>
          <w:color w:val="auto"/>
          <w:sz w:val="24"/>
          <w:highlight w:val="none"/>
        </w:rPr>
        <w:t>澄清或修改的</w:t>
      </w:r>
      <w:r>
        <w:rPr>
          <w:rFonts w:asciiTheme="majorEastAsia" w:hAnsiTheme="majorEastAsia" w:eastAsiaTheme="majorEastAsia"/>
          <w:color w:val="auto"/>
          <w:sz w:val="24"/>
          <w:highlight w:val="none"/>
        </w:rPr>
        <w:t>内容）</w:t>
      </w:r>
      <w:r>
        <w:rPr>
          <w:rFonts w:hint="eastAsia" w:asciiTheme="majorEastAsia" w:hAnsiTheme="majorEastAsia" w:eastAsiaTheme="majorEastAsia"/>
          <w:i/>
          <w:color w:val="auto"/>
          <w:sz w:val="24"/>
          <w:highlight w:val="none"/>
        </w:rPr>
        <w:t>。</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采购范围及响应文件中标准和计量单位的使用</w:t>
      </w:r>
    </w:p>
    <w:p>
      <w:pPr>
        <w:spacing w:line="360" w:lineRule="auto"/>
        <w:ind w:firstLine="435"/>
        <w:rPr>
          <w:rFonts w:asciiTheme="majorEastAsia" w:hAnsiTheme="majorEastAsia" w:eastAsiaTheme="majorEastAsia"/>
          <w:color w:val="auto"/>
          <w:sz w:val="24"/>
          <w:highlight w:val="none"/>
        </w:rPr>
      </w:pPr>
      <w:bookmarkStart w:id="41" w:name="_Hlk16458980"/>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.1供应商应当对所</w:t>
      </w:r>
      <w:r>
        <w:rPr>
          <w:rFonts w:hint="eastAsia" w:asciiTheme="majorEastAsia" w:hAnsiTheme="majorEastAsia" w:eastAsiaTheme="majorEastAsia"/>
          <w:color w:val="auto"/>
          <w:sz w:val="24"/>
          <w:highlight w:val="none"/>
        </w:rPr>
        <w:t>参与的</w:t>
      </w:r>
      <w:r>
        <w:rPr>
          <w:rFonts w:asciiTheme="majorEastAsia" w:hAnsiTheme="majorEastAsia" w:eastAsiaTheme="majorEastAsia"/>
          <w:color w:val="auto"/>
          <w:sz w:val="24"/>
          <w:highlight w:val="none"/>
        </w:rPr>
        <w:t>分包</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中“</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需求”所列的所有内容进行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，如仅响应</w:t>
      </w:r>
      <w:r>
        <w:rPr>
          <w:rFonts w:hint="eastAsia" w:asciiTheme="majorEastAsia" w:hAnsiTheme="majorEastAsia" w:eastAsiaTheme="majorEastAsia"/>
          <w:color w:val="auto"/>
          <w:sz w:val="24"/>
          <w:highlight w:val="none"/>
        </w:rPr>
        <w:t>所参与包别</w:t>
      </w:r>
      <w:r>
        <w:rPr>
          <w:rFonts w:asciiTheme="majorEastAsia" w:hAnsiTheme="majorEastAsia" w:eastAsiaTheme="majorEastAsia"/>
          <w:color w:val="auto"/>
          <w:sz w:val="24"/>
          <w:highlight w:val="none"/>
        </w:rPr>
        <w:t>中的部分内容，其</w:t>
      </w:r>
      <w:r>
        <w:rPr>
          <w:rFonts w:hint="eastAsia" w:asciiTheme="majorEastAsia" w:hAnsiTheme="majorEastAsia" w:eastAsiaTheme="majorEastAsia"/>
          <w:color w:val="auto"/>
          <w:sz w:val="24"/>
          <w:highlight w:val="none"/>
        </w:rPr>
        <w:t>所参与包别的响应文件</w:t>
      </w:r>
      <w:r>
        <w:rPr>
          <w:rFonts w:asciiTheme="majorEastAsia" w:hAnsiTheme="majorEastAsia" w:eastAsiaTheme="majorEastAsia"/>
          <w:color w:val="auto"/>
          <w:sz w:val="24"/>
          <w:highlight w:val="none"/>
        </w:rPr>
        <w:t>将被认定为</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.2无论</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文件中是否要求，</w:t>
      </w:r>
      <w:r>
        <w:rPr>
          <w:rFonts w:hint="eastAsia" w:asciiTheme="majorEastAsia" w:hAnsiTheme="majorEastAsia" w:eastAsiaTheme="majorEastAsia"/>
          <w:color w:val="auto"/>
          <w:sz w:val="24"/>
          <w:highlight w:val="none"/>
        </w:rPr>
        <w:t>供应商所提供的货物及伴随的服务和工程均应符合国家强制性标准。</w:t>
      </w:r>
    </w:p>
    <w:bookmarkEnd w:id="41"/>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与采购</w:t>
      </w:r>
      <w:r>
        <w:rPr>
          <w:rFonts w:hint="eastAsia" w:asciiTheme="majorEastAsia" w:hAnsiTheme="majorEastAsia" w:eastAsiaTheme="majorEastAsia"/>
          <w:color w:val="auto"/>
          <w:sz w:val="24"/>
          <w:highlight w:val="none"/>
        </w:rPr>
        <w:t>代理</w:t>
      </w:r>
      <w:r>
        <w:rPr>
          <w:rFonts w:asciiTheme="majorEastAsia" w:hAnsiTheme="majorEastAsia" w:eastAsiaTheme="majorEastAsia"/>
          <w:color w:val="auto"/>
          <w:sz w:val="24"/>
          <w:highlight w:val="none"/>
        </w:rPr>
        <w:t>机构之间与</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有关的所有往来通知、函件和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文件均用中文表述。</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随</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.4除</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文件中有特殊要求外，</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文件中所使用的计量单位，应采用中华人民共和国法定计量单位。</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应完整地按</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文件提供的</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文件格式及要求</w:t>
      </w:r>
      <w:r>
        <w:rPr>
          <w:rFonts w:hint="eastAsia" w:asciiTheme="majorEastAsia" w:hAnsiTheme="majorEastAsia" w:eastAsiaTheme="majorEastAsia"/>
          <w:color w:val="auto"/>
          <w:sz w:val="24"/>
          <w:highlight w:val="none"/>
        </w:rPr>
        <w:t>编</w:t>
      </w:r>
      <w:r>
        <w:rPr>
          <w:rFonts w:asciiTheme="majorEastAsia" w:hAnsiTheme="majorEastAsia" w:eastAsiaTheme="majorEastAsia"/>
          <w:color w:val="auto"/>
          <w:sz w:val="24"/>
          <w:highlight w:val="none"/>
        </w:rPr>
        <w:t>写</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w:t>
      </w:r>
      <w:r>
        <w:rPr>
          <w:rFonts w:hint="eastAsia" w:asciiTheme="majorEastAsia" w:hAnsiTheme="majorEastAsia" w:eastAsiaTheme="majorEastAsia"/>
          <w:color w:val="auto"/>
          <w:sz w:val="24"/>
          <w:highlight w:val="none"/>
        </w:rPr>
        <w:t>具体内容详见本项目响应文件格式的相关内容。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应提交证明文件，证明其</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内容符合</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报价</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.1供应商的报价应当包括满足本次</w:t>
      </w:r>
      <w:r>
        <w:rPr>
          <w:rFonts w:hint="eastAsia" w:asciiTheme="majorEastAsia" w:hAnsiTheme="majorEastAsia" w:eastAsiaTheme="majorEastAsia"/>
          <w:color w:val="auto"/>
          <w:sz w:val="24"/>
          <w:highlight w:val="none"/>
        </w:rPr>
        <w:t>采购文件的</w:t>
      </w:r>
      <w:r>
        <w:rPr>
          <w:rFonts w:asciiTheme="majorEastAsia" w:hAnsiTheme="majorEastAsia" w:eastAsiaTheme="majorEastAsia"/>
          <w:color w:val="auto"/>
          <w:sz w:val="24"/>
          <w:highlight w:val="none"/>
        </w:rPr>
        <w:t>全部采购需求所应提供的</w:t>
      </w:r>
      <w:r>
        <w:rPr>
          <w:rFonts w:hint="eastAsia" w:asciiTheme="majorEastAsia" w:hAnsiTheme="majorEastAsia" w:eastAsiaTheme="majorEastAsia"/>
          <w:color w:val="auto"/>
          <w:sz w:val="24"/>
          <w:highlight w:val="none"/>
        </w:rPr>
        <w:t>货物，</w:t>
      </w:r>
      <w:r>
        <w:rPr>
          <w:rFonts w:asciiTheme="majorEastAsia" w:hAnsiTheme="majorEastAsia" w:eastAsiaTheme="majorEastAsia"/>
          <w:color w:val="auto"/>
          <w:sz w:val="24"/>
          <w:highlight w:val="none"/>
        </w:rPr>
        <w:t>以及伴随的</w:t>
      </w:r>
      <w:r>
        <w:rPr>
          <w:rFonts w:hint="eastAsia" w:asciiTheme="majorEastAsia" w:hAnsiTheme="majorEastAsia" w:eastAsiaTheme="majorEastAsia"/>
          <w:color w:val="auto"/>
          <w:sz w:val="24"/>
          <w:highlight w:val="none"/>
        </w:rPr>
        <w:t>服务</w:t>
      </w:r>
      <w:r>
        <w:rPr>
          <w:rFonts w:asciiTheme="majorEastAsia" w:hAnsiTheme="majorEastAsia" w:eastAsiaTheme="majorEastAsia"/>
          <w:color w:val="auto"/>
          <w:sz w:val="24"/>
          <w:highlight w:val="none"/>
        </w:rPr>
        <w:t>和工程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ajorEastAsia" w:hAnsiTheme="majorEastAsia" w:eastAsiaTheme="majorEastAsia"/>
          <w:color w:val="auto"/>
          <w:sz w:val="24"/>
          <w:highlight w:val="none"/>
        </w:rPr>
        <w:t>供应商的报价均应以人民币报价，应遵守《中华人民共和国价格法》。</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hint="eastAsia" w:asciiTheme="majorEastAsia" w:hAnsiTheme="majorEastAsia" w:eastAsiaTheme="majorEastAsia"/>
          <w:color w:val="auto"/>
          <w:sz w:val="24"/>
          <w:highlight w:val="none"/>
        </w:rPr>
        <w:t>.2供应商最终报价超过采购文件规定的预算金额的</w:t>
      </w:r>
      <w:r>
        <w:rPr>
          <w:rFonts w:hint="eastAsia" w:asciiTheme="majorEastAsia" w:hAnsiTheme="majorEastAsia" w:eastAsiaTheme="majorEastAsia"/>
          <w:b/>
          <w:bCs/>
          <w:color w:val="auto"/>
          <w:sz w:val="24"/>
          <w:highlight w:val="none"/>
        </w:rPr>
        <w:t>响应</w:t>
      </w:r>
      <w:r>
        <w:rPr>
          <w:rFonts w:hint="eastAsia" w:asciiTheme="majorEastAsia" w:hAnsiTheme="majorEastAsia" w:eastAsiaTheme="majorEastAsia"/>
          <w:b/>
          <w:color w:val="auto"/>
          <w:sz w:val="24"/>
          <w:highlight w:val="none"/>
        </w:rPr>
        <w:t>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报价</w:t>
      </w:r>
      <w:r>
        <w:rPr>
          <w:rFonts w:asciiTheme="majorEastAsia" w:hAnsiTheme="majorEastAsia" w:eastAsiaTheme="majorEastAsia"/>
          <w:color w:val="auto"/>
          <w:sz w:val="24"/>
          <w:highlight w:val="none"/>
        </w:rPr>
        <w:t>在合同履行过程中是固定不变的，不得以任何理由予以变更。任何包含价格调整要求的</w:t>
      </w:r>
      <w:r>
        <w:rPr>
          <w:rFonts w:hint="eastAsia" w:asciiTheme="majorEastAsia" w:hAnsiTheme="majorEastAsia" w:eastAsiaTheme="majorEastAsia"/>
          <w:color w:val="auto"/>
          <w:sz w:val="24"/>
          <w:highlight w:val="none"/>
        </w:rPr>
        <w:t>响应文件</w:t>
      </w:r>
      <w:r>
        <w:rPr>
          <w:rFonts w:asciiTheme="majorEastAsia" w:hAnsiTheme="majorEastAsia" w:eastAsiaTheme="majorEastAsia"/>
          <w:color w:val="auto"/>
          <w:sz w:val="24"/>
          <w:highlight w:val="none"/>
        </w:rPr>
        <w:t>，</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采购人不接受具有附加条件的报价。</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响应文件有效期</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.1响应文件有效期为从响应文件提交截止之日算起的日历天数，响应文件有效期详见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.2在响应文件有效期内，供应商的响应文件保持有效，供应商不得要求撤销或修改其响应文件。响应文件有效期不满足要求的</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.2采购人和采购代理机构有权按本</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的规定，延迟</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截止时间。在此情况下，采购人、采购代理机构和供应商受</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截止时间制约的所有权利和义务均应延长至新的</w:t>
      </w:r>
      <w:r>
        <w:rPr>
          <w:rFonts w:hint="eastAsia" w:asciiTheme="majorEastAsia" w:hAnsiTheme="majorEastAsia" w:eastAsiaTheme="majorEastAsia"/>
          <w:color w:val="auto"/>
          <w:sz w:val="24"/>
          <w:highlight w:val="none"/>
        </w:rPr>
        <w:t>响应文件提交截止</w:t>
      </w:r>
      <w:r>
        <w:rPr>
          <w:rFonts w:asciiTheme="majorEastAsia" w:hAnsiTheme="majorEastAsia" w:eastAsiaTheme="majorEastAsia"/>
          <w:color w:val="auto"/>
          <w:sz w:val="24"/>
          <w:highlight w:val="none"/>
        </w:rPr>
        <w:t>时间。</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.3在</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截止时间前，供应商可以修改或撤回已提交的响应文件。</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采购小组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采购人、</w:t>
      </w:r>
      <w:r>
        <w:rPr>
          <w:rFonts w:asciiTheme="majorEastAsia" w:hAnsiTheme="majorEastAsia" w:eastAsiaTheme="majorEastAsia"/>
          <w:color w:val="auto"/>
          <w:sz w:val="24"/>
          <w:highlight w:val="none"/>
        </w:rPr>
        <w:t>采购代理机构</w:t>
      </w:r>
      <w:r>
        <w:rPr>
          <w:rFonts w:hint="eastAsia" w:asciiTheme="majorEastAsia" w:hAnsiTheme="majorEastAsia" w:eastAsiaTheme="majorEastAsia"/>
          <w:color w:val="auto"/>
          <w:sz w:val="24"/>
          <w:highlight w:val="none"/>
        </w:rPr>
        <w:t>按照《</w:t>
      </w:r>
      <w:r>
        <w:rPr>
          <w:rFonts w:asciiTheme="majorEastAsia" w:hAnsiTheme="majorEastAsia" w:eastAsiaTheme="majorEastAsia"/>
          <w:color w:val="auto"/>
          <w:sz w:val="24"/>
          <w:highlight w:val="none"/>
        </w:rPr>
        <w:t>中华人民共和国政府采购法》</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《中华人民共和国政府采购</w:t>
      </w:r>
      <w:r>
        <w:rPr>
          <w:rFonts w:hint="eastAsia" w:asciiTheme="majorEastAsia" w:hAnsiTheme="majorEastAsia" w:eastAsiaTheme="majorEastAsia"/>
          <w:color w:val="auto"/>
          <w:sz w:val="24"/>
          <w:highlight w:val="none"/>
        </w:rPr>
        <w:t>法</w:t>
      </w:r>
      <w:r>
        <w:rPr>
          <w:rFonts w:asciiTheme="majorEastAsia" w:hAnsiTheme="majorEastAsia" w:eastAsiaTheme="majorEastAsia"/>
          <w:color w:val="auto"/>
          <w:sz w:val="24"/>
          <w:highlight w:val="none"/>
        </w:rPr>
        <w:t>实施条例》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政府采购非招标采购方式管理办法</w:t>
      </w:r>
      <w:r>
        <w:rPr>
          <w:rFonts w:hint="eastAsia" w:asciiTheme="majorEastAsia" w:hAnsiTheme="majorEastAsia" w:eastAsiaTheme="majorEastAsia"/>
          <w:color w:val="auto"/>
          <w:sz w:val="24"/>
          <w:highlight w:val="none"/>
        </w:rPr>
        <w:t>》及本项目本级</w:t>
      </w:r>
      <w:r>
        <w:rPr>
          <w:rFonts w:asciiTheme="majorEastAsia" w:hAnsiTheme="majorEastAsia" w:eastAsiaTheme="majorEastAsia"/>
          <w:color w:val="auto"/>
          <w:sz w:val="24"/>
          <w:highlight w:val="none"/>
        </w:rPr>
        <w:t>和上级财政部门</w:t>
      </w:r>
      <w:r>
        <w:rPr>
          <w:rFonts w:hint="eastAsia" w:asciiTheme="majorEastAsia" w:hAnsiTheme="majorEastAsia" w:eastAsiaTheme="maj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42"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2"/>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.2采购小组依据采购文件的规定，从响应文件的有效性和完整性对采购文件的响应程度进行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，以确定是否对采购文件的实质性要求做出响应。响应文件有下列情况之一的将导致</w:t>
      </w:r>
      <w:r>
        <w:rPr>
          <w:rFonts w:asciiTheme="majorEastAsia" w:hAnsiTheme="majorEastAsia" w:eastAsiaTheme="majorEastAsia"/>
          <w:b/>
          <w:bCs/>
          <w:color w:val="auto"/>
          <w:sz w:val="24"/>
          <w:highlight w:val="none"/>
        </w:rPr>
        <w:t>响应无效</w:t>
      </w:r>
      <w:r>
        <w:rPr>
          <w:rFonts w:asciiTheme="majorEastAsia" w:hAnsiTheme="majorEastAsia" w:eastAsiaTheme="majorEastAsia"/>
          <w:color w:val="auto"/>
          <w:sz w:val="24"/>
          <w:highlight w:val="none"/>
        </w:rPr>
        <w:t>，供应商应进行补充或修改，使之符合单一来源采购文件要求：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1）未按照单一来源采购文件规定要求签署、盖章的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响应文件有效期不足的；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（3）不符合法律、法规、规范性文件和单一来源采购文件规定的。</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响应文件的澄清</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.3.1为有助于响应文件的审查、评价和比较，在</w:t>
      </w:r>
      <w:r>
        <w:rPr>
          <w:rFonts w:hint="eastAsia" w:asciiTheme="majorEastAsia" w:hAnsiTheme="majorEastAsia" w:eastAsiaTheme="majorEastAsia"/>
          <w:color w:val="auto"/>
          <w:sz w:val="24"/>
          <w:highlight w:val="none"/>
        </w:rPr>
        <w:t>评审过程中</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将以书面</w:t>
      </w:r>
      <w:r>
        <w:rPr>
          <w:rFonts w:hint="eastAsia" w:asciiTheme="majorEastAsia" w:hAnsiTheme="majorEastAsia" w:eastAsiaTheme="majorEastAsia"/>
          <w:color w:val="auto"/>
          <w:sz w:val="24"/>
          <w:highlight w:val="none"/>
        </w:rPr>
        <w:t>方式（询标）</w:t>
      </w:r>
      <w:r>
        <w:rPr>
          <w:rFonts w:asciiTheme="majorEastAsia" w:hAnsiTheme="majorEastAsia" w:eastAsiaTheme="maj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规定的时间内以书面</w:t>
      </w:r>
      <w:r>
        <w:rPr>
          <w:rFonts w:hint="eastAsia" w:asciiTheme="majorEastAsia" w:hAnsiTheme="majorEastAsia" w:eastAsiaTheme="majorEastAsia"/>
          <w:color w:val="auto"/>
          <w:sz w:val="24"/>
          <w:highlight w:val="none"/>
        </w:rPr>
        <w:t>方式</w:t>
      </w:r>
      <w:r>
        <w:rPr>
          <w:rFonts w:asciiTheme="majorEastAsia" w:hAnsiTheme="majorEastAsia" w:eastAsiaTheme="majorEastAsia"/>
          <w:color w:val="auto"/>
          <w:sz w:val="24"/>
          <w:highlight w:val="none"/>
        </w:rPr>
        <w:t>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.3.2</w:t>
      </w:r>
      <w:r>
        <w:rPr>
          <w:rFonts w:hint="eastAsia" w:asciiTheme="majorEastAsia" w:hAnsiTheme="majorEastAsia" w:eastAsiaTheme="majorEastAsia"/>
          <w:color w:val="auto"/>
          <w:sz w:val="24"/>
          <w:highlight w:val="none"/>
        </w:rPr>
        <w:t>供应商的澄清、说明或补正将作为响应文件的一部分。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.3.3</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对供应商提交的澄清、说明或补正有疑问的，可以要求供应商进一步澄清、说明或补正，直至满足</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的要求。</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协商与确定成交供应商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在协商过程中，采购文件若有实质性变动，采购小组将以书面形式通知参加协商的供应商。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在协商过程中，供应商可以进行多轮报价，供应商的最终报价不得超过采购预算。</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采购终止</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5</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出现下列情形之一的，</w:t>
      </w:r>
      <w:r>
        <w:rPr>
          <w:rFonts w:asciiTheme="majorEastAsia" w:hAnsiTheme="majorEastAsia" w:eastAsiaTheme="majorEastAsia"/>
          <w:color w:val="auto"/>
          <w:sz w:val="24"/>
          <w:highlight w:val="none"/>
        </w:rPr>
        <w:t>采购人或者采购代理机构应当终止采购活动，发布</w:t>
      </w:r>
      <w:r>
        <w:rPr>
          <w:rFonts w:hint="eastAsia" w:asciiTheme="majorEastAsia" w:hAnsiTheme="majorEastAsia" w:eastAsiaTheme="majorEastAsia"/>
          <w:color w:val="auto"/>
          <w:sz w:val="24"/>
          <w:highlight w:val="none"/>
        </w:rPr>
        <w:t>项目终止公告并说明原因，</w:t>
      </w:r>
      <w:r>
        <w:rPr>
          <w:rFonts w:asciiTheme="majorEastAsia" w:hAnsiTheme="majorEastAsia" w:eastAsiaTheme="majorEastAsia"/>
          <w:color w:val="auto"/>
          <w:sz w:val="24"/>
          <w:highlight w:val="none"/>
        </w:rPr>
        <w:t>重新开展采购活动：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因情况变化，不再符合规定的单一来源采购方式适用情形的；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出现影响采购公正的违法、违规行为的；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报价超过采购预算的。</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保密要求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.1协商过程将在严格保密的情况下进行。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编写协商情况记录</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协商情况记录</w:t>
      </w:r>
      <w:r>
        <w:rPr>
          <w:rFonts w:hint="eastAsia" w:asciiTheme="majorEastAsia" w:hAnsiTheme="majorEastAsia" w:eastAsiaTheme="majorEastAsia"/>
          <w:color w:val="auto"/>
          <w:sz w:val="24"/>
          <w:highlight w:val="none"/>
        </w:rPr>
        <w:t>是根据单一来源采购活动的协商记录和协商结果编写的报告，</w:t>
      </w:r>
      <w:r>
        <w:rPr>
          <w:rFonts w:asciiTheme="majorEastAsia" w:hAnsiTheme="majorEastAsia" w:eastAsiaTheme="maj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成交结果公告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asciiTheme="majorEastAsia" w:hAnsiTheme="majorEastAsia" w:eastAsiaTheme="majorEastAsia"/>
          <w:color w:val="auto"/>
          <w:sz w:val="24"/>
          <w:highlight w:val="none"/>
        </w:rPr>
        <w:t>.1自</w:t>
      </w:r>
      <w:r>
        <w:rPr>
          <w:rFonts w:hint="eastAsia" w:asciiTheme="majorEastAsia" w:hAnsiTheme="majorEastAsia" w:eastAsiaTheme="majorEastAsia"/>
          <w:color w:val="auto"/>
          <w:sz w:val="24"/>
          <w:highlight w:val="none"/>
        </w:rPr>
        <w:t>成交供应商</w:t>
      </w:r>
      <w:r>
        <w:rPr>
          <w:rFonts w:asciiTheme="majorEastAsia" w:hAnsiTheme="majorEastAsia" w:eastAsiaTheme="majorEastAsia"/>
          <w:color w:val="auto"/>
          <w:sz w:val="24"/>
          <w:highlight w:val="none"/>
        </w:rPr>
        <w:t>确定之日起2个工作日内，采购代理机构</w:t>
      </w:r>
      <w:r>
        <w:rPr>
          <w:rFonts w:hint="eastAsia" w:asciiTheme="majorEastAsia" w:hAnsiTheme="majorEastAsia" w:eastAsiaTheme="majorEastAsia"/>
          <w:color w:val="auto"/>
          <w:sz w:val="24"/>
          <w:highlight w:val="none"/>
        </w:rPr>
        <w:t>将</w:t>
      </w:r>
      <w:r>
        <w:rPr>
          <w:rFonts w:hint="eastAsia" w:ascii="宋体" w:hAnsi="宋体" w:eastAsia="宋体"/>
          <w:color w:val="auto"/>
          <w:sz w:val="24"/>
          <w:szCs w:val="18"/>
          <w:highlight w:val="none"/>
          <w:lang w:val="en-US" w:eastAsia="zh-CN"/>
        </w:rPr>
        <w:t>在安徽省政府采购网（www.ccgp-anhui.gov.cn）</w:t>
      </w:r>
      <w:r>
        <w:rPr>
          <w:rFonts w:hint="eastAsia" w:ascii="宋体" w:hAnsi="宋体" w:eastAsia="宋体"/>
          <w:color w:val="auto"/>
          <w:sz w:val="24"/>
          <w:szCs w:val="18"/>
          <w:highlight w:val="none"/>
          <w:u w:val="none"/>
          <w:lang w:val="en-US" w:eastAsia="zh-CN"/>
        </w:rPr>
        <w:t>上</w:t>
      </w:r>
      <w:r>
        <w:rPr>
          <w:rFonts w:asciiTheme="majorEastAsia" w:hAnsiTheme="majorEastAsia" w:eastAsiaTheme="majorEastAsia"/>
          <w:color w:val="auto"/>
          <w:sz w:val="24"/>
          <w:highlight w:val="none"/>
        </w:rPr>
        <w:t>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2成交结果公告应当包括以下内容：</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）采购人和采购代理机构的名称、地址和联系方式；</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）项目名称和项目编号；</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）成交供应商名称、地址和成交金额；</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）单一来源采购人员名单</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5</w:t>
      </w:r>
      <w:r>
        <w:rPr>
          <w:rFonts w:hint="eastAsia"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u w:val="single"/>
        </w:rPr>
        <w:t>供应商须知前附表</w:t>
      </w:r>
      <w:r>
        <w:rPr>
          <w:rFonts w:asciiTheme="majorEastAsia" w:hAnsiTheme="majorEastAsia" w:eastAsiaTheme="majorEastAsia"/>
          <w:color w:val="auto"/>
          <w:sz w:val="24"/>
          <w:highlight w:val="none"/>
        </w:rPr>
        <w:t>中约定进行公告的</w:t>
      </w:r>
      <w:r>
        <w:rPr>
          <w:rFonts w:hint="eastAsia" w:asciiTheme="majorEastAsia" w:hAnsiTheme="majorEastAsia" w:eastAsiaTheme="majorEastAsia"/>
          <w:color w:val="auto"/>
          <w:sz w:val="24"/>
          <w:highlight w:val="none"/>
        </w:rPr>
        <w:t>其他</w:t>
      </w:r>
      <w:r>
        <w:rPr>
          <w:rFonts w:asciiTheme="majorEastAsia" w:hAnsiTheme="majorEastAsia" w:eastAsiaTheme="majorEastAsia"/>
          <w:color w:val="auto"/>
          <w:sz w:val="24"/>
          <w:highlight w:val="none"/>
        </w:rPr>
        <w:t>内容。</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.1采购代理机构发布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r>
        <w:rPr>
          <w:rFonts w:hint="eastAsia" w:asciiTheme="majorEastAsia" w:hAnsiTheme="majorEastAsia" w:eastAsiaTheme="majorEastAsia"/>
          <w:iCs/>
          <w:color w:val="auto"/>
          <w:sz w:val="24"/>
          <w:highlight w:val="none"/>
        </w:rPr>
        <w:t>的</w:t>
      </w:r>
      <w:r>
        <w:rPr>
          <w:rFonts w:asciiTheme="majorEastAsia" w:hAnsiTheme="majorEastAsia" w:eastAsiaTheme="majorEastAsia"/>
          <w:color w:val="auto"/>
          <w:sz w:val="24"/>
          <w:highlight w:val="none"/>
        </w:rPr>
        <w:t>同时以</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规定的</w:t>
      </w:r>
      <w:r>
        <w:rPr>
          <w:rFonts w:asciiTheme="majorEastAsia" w:hAnsiTheme="majorEastAsia" w:eastAsiaTheme="majorEastAsia"/>
          <w:color w:val="auto"/>
          <w:sz w:val="24"/>
          <w:highlight w:val="none"/>
        </w:rPr>
        <w:t>形式向成交供应商发出成交通知书。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.2成交通知书对采购人和成交供应商具有同等法律效力。成交通知书发出以后，采购人改变</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结果或者成交供应商放弃</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，应当承担相应的法律责任。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.3成交通知书是合同的组成部分。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履约保证金</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.1成交供应商应按照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规定缴纳履约保证金。</w:t>
      </w:r>
    </w:p>
    <w:p>
      <w:pPr>
        <w:spacing w:line="360" w:lineRule="auto"/>
        <w:ind w:firstLine="435"/>
        <w:rPr>
          <w:rFonts w:asciiTheme="majorEastAsia" w:hAnsiTheme="majorEastAsia" w:eastAsiaTheme="majorEastAsia"/>
          <w:b/>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如果成交供应商没有按照上述履约保证金的规定执行，将视为放弃成交资格。</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签订合同</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.2采购文件、成交供应商的响应文件及其澄清文件等，均为签订合同的依据。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采购人不得向成交供应商提出超出采购文件以外的任何要求作为签订合同的条件，</w:t>
      </w:r>
      <w:r>
        <w:rPr>
          <w:rFonts w:asciiTheme="majorEastAsia" w:hAnsiTheme="majorEastAsia" w:eastAsiaTheme="majorEastAsia"/>
          <w:color w:val="auto"/>
          <w:sz w:val="24"/>
          <w:highlight w:val="none"/>
        </w:rPr>
        <w:t>不得</w:t>
      </w:r>
      <w:r>
        <w:rPr>
          <w:rFonts w:hint="eastAsia" w:asciiTheme="majorEastAsia" w:hAnsiTheme="majorEastAsia" w:eastAsiaTheme="majorEastAsia"/>
          <w:color w:val="auto"/>
          <w:sz w:val="24"/>
          <w:highlight w:val="none"/>
        </w:rPr>
        <w:t>与成交供应商订立背离采购文件确定的合同文本以及采购标的、</w:t>
      </w:r>
      <w:r>
        <w:rPr>
          <w:rFonts w:asciiTheme="majorEastAsia" w:hAnsiTheme="majorEastAsia" w:eastAsiaTheme="majorEastAsia"/>
          <w:color w:val="auto"/>
          <w:sz w:val="24"/>
          <w:highlight w:val="none"/>
        </w:rPr>
        <w:t>规格型号、采购金额、采购</w:t>
      </w:r>
      <w:r>
        <w:rPr>
          <w:rFonts w:hint="eastAsia" w:asciiTheme="majorEastAsia" w:hAnsiTheme="majorEastAsia" w:eastAsiaTheme="majorEastAsia"/>
          <w:color w:val="auto"/>
          <w:sz w:val="24"/>
          <w:highlight w:val="none"/>
        </w:rPr>
        <w:t>数量、</w:t>
      </w:r>
      <w:r>
        <w:rPr>
          <w:rFonts w:asciiTheme="majorEastAsia" w:hAnsiTheme="majorEastAsia" w:eastAsiaTheme="majorEastAsia"/>
          <w:color w:val="auto"/>
          <w:sz w:val="24"/>
          <w:highlight w:val="none"/>
        </w:rPr>
        <w:t>技术和服务要求等实质性内容的协议。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除不可抗力等因素外，</w:t>
      </w:r>
      <w:r>
        <w:rPr>
          <w:rFonts w:asciiTheme="majorEastAsia" w:hAnsiTheme="majorEastAsia" w:eastAsiaTheme="majorEastAsia"/>
          <w:color w:val="auto"/>
          <w:sz w:val="24"/>
          <w:highlight w:val="none"/>
        </w:rPr>
        <w:t>成交通知书发出后，采购人改变成交结果，或者成</w:t>
      </w:r>
      <w:r>
        <w:rPr>
          <w:rFonts w:hint="eastAsia" w:asciiTheme="majorEastAsia" w:hAnsiTheme="majorEastAsia" w:eastAsiaTheme="majorEastAsia"/>
          <w:color w:val="auto"/>
          <w:sz w:val="24"/>
          <w:highlight w:val="none"/>
        </w:rPr>
        <w:t>交供应商拒绝签订政府采购合同的，</w:t>
      </w:r>
      <w:r>
        <w:rPr>
          <w:rFonts w:asciiTheme="majorEastAsia" w:hAnsiTheme="majorEastAsia" w:eastAsiaTheme="majorEastAsia"/>
          <w:color w:val="auto"/>
          <w:sz w:val="24"/>
          <w:highlight w:val="none"/>
        </w:rPr>
        <w:t>应当承担相应的法律责任。</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lang w:val="en-US" w:eastAsia="zh-CN"/>
        </w:rPr>
        <w:t>代理费用</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w:t>
      </w:r>
      <w:r>
        <w:rPr>
          <w:rFonts w:hint="eastAsia" w:asciiTheme="majorEastAsia" w:hAnsiTheme="majorEastAsia" w:eastAsiaTheme="majorEastAsia"/>
          <w:color w:val="auto"/>
          <w:sz w:val="24"/>
          <w:highlight w:val="none"/>
          <w:lang w:val="en-US" w:eastAsia="zh-CN"/>
        </w:rPr>
        <w:t>代理费用</w:t>
      </w:r>
      <w:r>
        <w:rPr>
          <w:rFonts w:hint="eastAsia" w:asciiTheme="majorEastAsia" w:hAnsiTheme="majorEastAsia" w:eastAsiaTheme="majorEastAsia"/>
          <w:color w:val="auto"/>
          <w:sz w:val="24"/>
          <w:highlight w:val="none"/>
        </w:rPr>
        <w:t>的收取按</w:t>
      </w:r>
      <w:r>
        <w:rPr>
          <w:rFonts w:hint="eastAsia" w:asciiTheme="majorEastAsia" w:hAnsiTheme="majorEastAsia" w:eastAsiaTheme="majorEastAsia"/>
          <w:color w:val="auto"/>
          <w:sz w:val="24"/>
          <w:highlight w:val="none"/>
          <w:u w:val="single"/>
        </w:rPr>
        <w:t>供应商须知前附表的</w:t>
      </w:r>
      <w:r>
        <w:rPr>
          <w:rFonts w:hint="eastAsia" w:asciiTheme="majorEastAsia" w:hAnsiTheme="majorEastAsia" w:eastAsiaTheme="majorEastAsia"/>
          <w:color w:val="auto"/>
          <w:sz w:val="24"/>
          <w:highlight w:val="none"/>
        </w:rPr>
        <w:t>规定执行。</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需要补充的其他内容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需要补充的其他内容，见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43" w:name="_Toc23511"/>
      <w:r>
        <w:rPr>
          <w:rFonts w:hint="eastAsia" w:asciiTheme="majorEastAsia" w:hAnsiTheme="majorEastAsia" w:eastAsiaTheme="majorEastAsia"/>
          <w:b/>
          <w:color w:val="auto"/>
          <w:sz w:val="28"/>
          <w:highlight w:val="none"/>
        </w:rPr>
        <w:t>第三章  采购需求</w:t>
      </w:r>
      <w:bookmarkEnd w:id="43"/>
    </w:p>
    <w:p>
      <w:pPr>
        <w:spacing w:line="360" w:lineRule="auto"/>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前注：</w:t>
      </w:r>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asciiTheme="majorEastAsia" w:hAnsiTheme="majorEastAsia" w:eastAsiaTheme="majorEastAsia"/>
          <w:color w:val="auto"/>
          <w:sz w:val="24"/>
          <w:szCs w:val="18"/>
          <w:highlight w:val="none"/>
        </w:rPr>
        <w:t>根据</w:t>
      </w:r>
      <w:r>
        <w:rPr>
          <w:rFonts w:ascii="宋体" w:hAnsi="宋体" w:eastAsia="宋体"/>
          <w:color w:val="auto"/>
          <w:sz w:val="24"/>
          <w:szCs w:val="18"/>
          <w:highlight w:val="none"/>
        </w:rPr>
        <w:t>《</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w:t>
      </w:r>
      <w:r>
        <w:rPr>
          <w:rFonts w:asciiTheme="majorEastAsia" w:hAnsiTheme="majorEastAsia" w:eastAsiaTheme="majorEastAsia"/>
          <w:color w:val="auto"/>
          <w:sz w:val="24"/>
          <w:szCs w:val="18"/>
          <w:highlight w:val="none"/>
        </w:rPr>
        <w:t>及政府采购管理部门的相关规定，下列采购需求中</w:t>
      </w:r>
      <w:r>
        <w:rPr>
          <w:rFonts w:hint="eastAsia" w:asciiTheme="majorEastAsia" w:hAnsiTheme="majorEastAsia" w:eastAsiaTheme="majorEastAsia"/>
          <w:color w:val="auto"/>
          <w:sz w:val="24"/>
          <w:szCs w:val="18"/>
          <w:highlight w:val="none"/>
        </w:rPr>
        <w:t>标注进口产品的货物均</w:t>
      </w:r>
      <w:r>
        <w:rPr>
          <w:rFonts w:asciiTheme="majorEastAsia" w:hAnsiTheme="majorEastAsia" w:eastAsiaTheme="majorEastAsia"/>
          <w:color w:val="auto"/>
          <w:sz w:val="24"/>
          <w:szCs w:val="18"/>
          <w:highlight w:val="none"/>
        </w:rPr>
        <w:t>已履行相关论证手续，经核准采购进口</w:t>
      </w:r>
      <w:r>
        <w:rPr>
          <w:rFonts w:hint="eastAsia" w:asciiTheme="majorEastAsia" w:hAnsiTheme="majorEastAsia" w:eastAsiaTheme="majorEastAsia"/>
          <w:color w:val="auto"/>
          <w:sz w:val="24"/>
          <w:szCs w:val="18"/>
          <w:highlight w:val="none"/>
        </w:rPr>
        <w:t>产品</w:t>
      </w:r>
      <w:r>
        <w:rPr>
          <w:rFonts w:asciiTheme="majorEastAsia" w:hAnsiTheme="majorEastAsia" w:eastAsiaTheme="majorEastAsia"/>
          <w:color w:val="auto"/>
          <w:sz w:val="24"/>
          <w:szCs w:val="18"/>
          <w:highlight w:val="none"/>
        </w:rPr>
        <w:t>，但不限制满足采购文件要求的国内产品参与竞争</w:t>
      </w:r>
      <w:r>
        <w:rPr>
          <w:rFonts w:hint="eastAsia" w:asciiTheme="majorEastAsia" w:hAnsiTheme="majorEastAsia" w:eastAsiaTheme="majorEastAsia"/>
          <w:color w:val="auto"/>
          <w:sz w:val="24"/>
          <w:szCs w:val="18"/>
          <w:highlight w:val="none"/>
        </w:rPr>
        <w:t>。未标注进口产品的货物均</w:t>
      </w:r>
      <w:r>
        <w:rPr>
          <w:rFonts w:asciiTheme="majorEastAsia" w:hAnsiTheme="majorEastAsia" w:eastAsiaTheme="majorEastAsia"/>
          <w:color w:val="auto"/>
          <w:sz w:val="24"/>
          <w:szCs w:val="18"/>
          <w:highlight w:val="none"/>
        </w:rPr>
        <w:t>为拒绝采购进口产品</w:t>
      </w:r>
      <w:r>
        <w:rPr>
          <w:rFonts w:hint="eastAsia" w:asciiTheme="majorEastAsia" w:hAnsiTheme="majorEastAsia" w:eastAsiaTheme="maj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ajorEastAsia" w:hAnsiTheme="majorEastAsia" w:eastAsiaTheme="majorEastAsia"/>
          <w:color w:val="auto"/>
          <w:sz w:val="24"/>
          <w:szCs w:val="18"/>
          <w:highlight w:val="none"/>
        </w:rPr>
      </w:pPr>
    </w:p>
    <w:p>
      <w:pPr>
        <w:spacing w:line="360" w:lineRule="auto"/>
        <w:ind w:firstLine="437"/>
        <w:outlineLvl w:val="1"/>
        <w:rPr>
          <w:rFonts w:asciiTheme="majorEastAsia" w:hAnsiTheme="majorEastAsia" w:eastAsiaTheme="majorEastAsia"/>
          <w:b/>
          <w:color w:val="auto"/>
          <w:sz w:val="24"/>
          <w:szCs w:val="18"/>
          <w:highlight w:val="none"/>
        </w:rPr>
      </w:pPr>
      <w:bookmarkStart w:id="44" w:name="_Toc17468"/>
      <w:bookmarkStart w:id="45" w:name="_Toc21372"/>
      <w:bookmarkStart w:id="46" w:name="_Toc23100"/>
      <w:r>
        <w:rPr>
          <w:rFonts w:hint="eastAsia" w:asciiTheme="majorEastAsia" w:hAnsiTheme="majorEastAsia" w:eastAsiaTheme="majorEastAsia"/>
          <w:b/>
          <w:color w:val="auto"/>
          <w:sz w:val="24"/>
          <w:szCs w:val="18"/>
          <w:highlight w:val="none"/>
        </w:rPr>
        <w:t>一、采购需求前附表</w:t>
      </w:r>
      <w:bookmarkEnd w:id="44"/>
      <w:bookmarkEnd w:id="45"/>
      <w:bookmarkEnd w:id="46"/>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
                <w:color w:val="auto"/>
                <w:kern w:val="2"/>
                <w:highlight w:val="none"/>
              </w:rPr>
            </w:pPr>
            <w:r>
              <w:rPr>
                <w:rFonts w:hint="eastAsia" w:asciiTheme="majorEastAsia" w:hAnsiTheme="majorEastAsia" w:eastAsiaTheme="majorEastAsia"/>
                <w:b/>
                <w:color w:val="auto"/>
                <w:kern w:val="2"/>
                <w:highlight w:val="none"/>
              </w:rPr>
              <w:t>序号</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条款名称</w:t>
            </w:r>
          </w:p>
        </w:tc>
        <w:tc>
          <w:tcPr>
            <w:tcW w:w="3217" w:type="pct"/>
            <w:vAlign w:val="center"/>
          </w:tcPr>
          <w:p>
            <w:pPr>
              <w:pStyle w:val="27"/>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1</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付款方式</w:t>
            </w:r>
          </w:p>
        </w:tc>
        <w:tc>
          <w:tcPr>
            <w:tcW w:w="3217"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u w:val="singl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2</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供货及安装地点</w:t>
            </w:r>
          </w:p>
        </w:tc>
        <w:tc>
          <w:tcPr>
            <w:tcW w:w="3217"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3</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供货及安装期限</w:t>
            </w:r>
          </w:p>
        </w:tc>
        <w:tc>
          <w:tcPr>
            <w:tcW w:w="3217"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合同生效后</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4</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免费质保期</w:t>
            </w:r>
          </w:p>
        </w:tc>
        <w:tc>
          <w:tcPr>
            <w:tcW w:w="3217"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验收合格之日起</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8"/>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27"/>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c>
          <w:tcPr>
            <w:tcW w:w="3217" w:type="pct"/>
            <w:vAlign w:val="center"/>
          </w:tcPr>
          <w:p>
            <w:pPr>
              <w:pStyle w:val="27"/>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47" w:name="_Toc2632"/>
      <w:bookmarkStart w:id="48" w:name="_Toc12444"/>
      <w:bookmarkStart w:id="49" w:name="_Toc28831"/>
      <w:r>
        <w:rPr>
          <w:rFonts w:hint="eastAsia" w:asciiTheme="majorEastAsia" w:hAnsiTheme="majorEastAsia" w:eastAsiaTheme="majorEastAsia"/>
          <w:b/>
          <w:bCs/>
          <w:color w:val="auto"/>
          <w:sz w:val="24"/>
          <w:szCs w:val="18"/>
          <w:highlight w:val="none"/>
        </w:rPr>
        <w:t>二、货物需求</w:t>
      </w:r>
      <w:bookmarkEnd w:id="47"/>
      <w:bookmarkEnd w:id="48"/>
      <w:bookmarkEnd w:id="49"/>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776"/>
        <w:gridCol w:w="2221"/>
        <w:gridCol w:w="1065"/>
        <w:gridCol w:w="798"/>
        <w:gridCol w:w="123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序号</w:t>
            </w:r>
          </w:p>
        </w:tc>
        <w:tc>
          <w:tcPr>
            <w:tcW w:w="1042"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货物名称</w:t>
            </w:r>
          </w:p>
        </w:tc>
        <w:tc>
          <w:tcPr>
            <w:tcW w:w="1303"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技术参数要求</w:t>
            </w:r>
          </w:p>
        </w:tc>
        <w:tc>
          <w:tcPr>
            <w:tcW w:w="625"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单位</w:t>
            </w:r>
          </w:p>
        </w:tc>
        <w:tc>
          <w:tcPr>
            <w:tcW w:w="468"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数量</w:t>
            </w:r>
          </w:p>
        </w:tc>
        <w:tc>
          <w:tcPr>
            <w:tcW w:w="727" w:type="pct"/>
            <w:vAlign w:val="center"/>
          </w:tcPr>
          <w:p>
            <w:pPr>
              <w:spacing w:line="360" w:lineRule="auto"/>
              <w:jc w:val="center"/>
              <w:rPr>
                <w:rFonts w:hint="default" w:asciiTheme="majorEastAsia" w:hAnsiTheme="majorEastAsia" w:eastAsiaTheme="majorEastAsia"/>
                <w:b/>
                <w:bCs/>
                <w:color w:val="auto"/>
                <w:sz w:val="24"/>
                <w:szCs w:val="18"/>
                <w:highlight w:val="none"/>
                <w:lang w:val="en-US" w:eastAsia="zh-CN"/>
              </w:rPr>
            </w:pPr>
            <w:r>
              <w:rPr>
                <w:rFonts w:hint="eastAsia" w:asciiTheme="majorEastAsia" w:hAnsiTheme="majorEastAsia" w:eastAsiaTheme="majorEastAsia"/>
                <w:b/>
                <w:bCs/>
                <w:color w:val="auto"/>
                <w:sz w:val="24"/>
                <w:szCs w:val="18"/>
                <w:highlight w:val="none"/>
                <w:lang w:val="en-US" w:eastAsia="zh-CN"/>
              </w:rPr>
              <w:t>是否为核心产品</w:t>
            </w:r>
          </w:p>
        </w:tc>
        <w:tc>
          <w:tcPr>
            <w:tcW w:w="417"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3</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4</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5</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6</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7</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8</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9</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10</w:t>
            </w:r>
          </w:p>
        </w:tc>
        <w:tc>
          <w:tcPr>
            <w:tcW w:w="1042"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03"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25"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6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2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17" w:type="pct"/>
            <w:vAlign w:val="center"/>
          </w:tcPr>
          <w:p>
            <w:pPr>
              <w:spacing w:line="360" w:lineRule="auto"/>
              <w:jc w:val="center"/>
              <w:rPr>
                <w:rFonts w:asciiTheme="majorEastAsia" w:hAnsiTheme="majorEastAsia" w:eastAsiaTheme="majorEastAsia"/>
                <w:bCs/>
                <w:color w:val="auto"/>
                <w:sz w:val="24"/>
                <w:szCs w:val="18"/>
                <w:highlight w:val="none"/>
              </w:rPr>
            </w:pP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50" w:name="_Toc16968"/>
      <w:bookmarkStart w:id="51" w:name="_Toc9670"/>
      <w:bookmarkStart w:id="52" w:name="_Toc31924"/>
      <w:r>
        <w:rPr>
          <w:rFonts w:hint="eastAsia" w:asciiTheme="majorEastAsia" w:hAnsiTheme="majorEastAsia" w:eastAsiaTheme="majorEastAsia"/>
          <w:b/>
          <w:bCs/>
          <w:color w:val="auto"/>
          <w:sz w:val="24"/>
          <w:szCs w:val="18"/>
          <w:highlight w:val="none"/>
        </w:rPr>
        <w:t>三、报价要求</w:t>
      </w:r>
      <w:bookmarkEnd w:id="50"/>
      <w:bookmarkEnd w:id="51"/>
      <w:bookmarkEnd w:id="52"/>
    </w:p>
    <w:p>
      <w:pPr>
        <w:spacing w:line="360" w:lineRule="auto"/>
        <w:ind w:firstLine="437"/>
        <w:rPr>
          <w:rFonts w:asciiTheme="majorEastAsia" w:hAnsiTheme="majorEastAsia" w:eastAsiaTheme="majorEastAsia"/>
          <w:bCs/>
          <w:color w:val="auto"/>
          <w:sz w:val="24"/>
          <w:szCs w:val="18"/>
          <w:highlight w:val="none"/>
        </w:rPr>
      </w:pPr>
    </w:p>
    <w:p>
      <w:pPr>
        <w:spacing w:line="360" w:lineRule="auto"/>
        <w:ind w:firstLine="437"/>
        <w:outlineLvl w:val="1"/>
        <w:rPr>
          <w:rFonts w:asciiTheme="majorEastAsia" w:hAnsiTheme="majorEastAsia" w:eastAsiaTheme="majorEastAsia"/>
          <w:b/>
          <w:bCs/>
          <w:color w:val="auto"/>
          <w:sz w:val="24"/>
          <w:szCs w:val="18"/>
          <w:highlight w:val="none"/>
        </w:rPr>
      </w:pPr>
      <w:bookmarkStart w:id="53" w:name="_Toc28168"/>
      <w:bookmarkStart w:id="54" w:name="_Toc16275"/>
      <w:bookmarkStart w:id="55" w:name="_Toc7910"/>
      <w:r>
        <w:rPr>
          <w:rFonts w:hint="eastAsia" w:asciiTheme="majorEastAsia" w:hAnsiTheme="majorEastAsia" w:eastAsiaTheme="majorEastAsia"/>
          <w:b/>
          <w:bCs/>
          <w:color w:val="auto"/>
          <w:sz w:val="24"/>
          <w:szCs w:val="18"/>
          <w:highlight w:val="none"/>
        </w:rPr>
        <w:t>四、其他要求</w:t>
      </w:r>
      <w:bookmarkEnd w:id="53"/>
      <w:bookmarkEnd w:id="54"/>
      <w:bookmarkEnd w:id="55"/>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56" w:name="_Toc2154"/>
      <w:r>
        <w:rPr>
          <w:rFonts w:hint="eastAsia" w:asciiTheme="majorEastAsia" w:hAnsiTheme="majorEastAsia" w:eastAsiaTheme="majorEastAsia"/>
          <w:b/>
          <w:color w:val="auto"/>
          <w:sz w:val="28"/>
          <w:highlight w:val="none"/>
        </w:rPr>
        <w:t>第四章  协商程序和评审标准</w:t>
      </w:r>
      <w:bookmarkEnd w:id="56"/>
    </w:p>
    <w:p>
      <w:pPr>
        <w:spacing w:line="360" w:lineRule="auto"/>
        <w:ind w:firstLine="437"/>
        <w:outlineLvl w:val="1"/>
        <w:rPr>
          <w:rFonts w:asciiTheme="majorEastAsia" w:hAnsiTheme="majorEastAsia" w:eastAsiaTheme="majorEastAsia"/>
          <w:b/>
          <w:color w:val="auto"/>
          <w:sz w:val="24"/>
          <w:highlight w:val="none"/>
        </w:rPr>
      </w:pPr>
      <w:bookmarkStart w:id="57" w:name="_Toc31300"/>
      <w:bookmarkStart w:id="58" w:name="_Toc29504"/>
      <w:bookmarkStart w:id="59" w:name="_Toc12610"/>
      <w:r>
        <w:rPr>
          <w:rFonts w:hint="eastAsia" w:asciiTheme="majorEastAsia" w:hAnsiTheme="majorEastAsia" w:eastAsiaTheme="majorEastAsia"/>
          <w:b/>
          <w:color w:val="auto"/>
          <w:sz w:val="24"/>
          <w:highlight w:val="none"/>
        </w:rPr>
        <w:t>一、总则</w:t>
      </w:r>
      <w:bookmarkEnd w:id="57"/>
      <w:bookmarkEnd w:id="58"/>
      <w:bookmarkEnd w:id="59"/>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本项目将按照采购文件第二章 供应商须知的相关要求</w:t>
      </w:r>
      <w:r>
        <w:rPr>
          <w:rFonts w:asciiTheme="majorEastAsia" w:hAnsiTheme="majorEastAsia" w:eastAsiaTheme="majorEastAsia"/>
          <w:color w:val="auto"/>
          <w:sz w:val="24"/>
          <w:highlight w:val="none"/>
        </w:rPr>
        <w:t>及本章的规定</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w:t>
      </w:r>
    </w:p>
    <w:p>
      <w:pPr>
        <w:spacing w:line="360" w:lineRule="auto"/>
        <w:ind w:firstLine="437"/>
        <w:outlineLvl w:val="1"/>
        <w:rPr>
          <w:rFonts w:asciiTheme="majorEastAsia" w:hAnsiTheme="majorEastAsia" w:eastAsiaTheme="majorEastAsia"/>
          <w:b/>
          <w:color w:val="auto"/>
          <w:sz w:val="24"/>
          <w:highlight w:val="none"/>
        </w:rPr>
      </w:pPr>
      <w:bookmarkStart w:id="60" w:name="_Toc29330"/>
      <w:bookmarkStart w:id="61" w:name="_Toc28300"/>
      <w:bookmarkStart w:id="62" w:name="_Toc17793"/>
      <w:r>
        <w:rPr>
          <w:rFonts w:hint="eastAsia" w:asciiTheme="majorEastAsia" w:hAnsiTheme="majorEastAsia" w:eastAsiaTheme="majorEastAsia"/>
          <w:b/>
          <w:color w:val="auto"/>
          <w:sz w:val="24"/>
          <w:highlight w:val="none"/>
        </w:rPr>
        <w:t>二、协商程序</w:t>
      </w:r>
      <w:bookmarkEnd w:id="60"/>
      <w:bookmarkEnd w:id="61"/>
      <w:bookmarkEnd w:id="62"/>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采购小组对通过供应商的响应文件进行评审，以确定其是否满足采购文件的实质性要求。评审表如下：</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63"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28"/>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63"/>
    </w:tbl>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b/>
          <w:bCs/>
          <w:color w:val="auto"/>
          <w:sz w:val="24"/>
          <w:highlight w:val="none"/>
        </w:rPr>
        <w:t>评审指标通过标准：</w:t>
      </w:r>
      <w:r>
        <w:rPr>
          <w:rFonts w:hint="eastAsia" w:asciiTheme="majorEastAsia" w:hAnsiTheme="majorEastAsia" w:eastAsiaTheme="majorEastAsia"/>
          <w:color w:val="auto"/>
          <w:sz w:val="24"/>
          <w:highlight w:val="none"/>
        </w:rPr>
        <w:t>供应商必须通过评审表中的全部评审指标。</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0"/>
        <w:rPr>
          <w:rFonts w:asciiTheme="majorEastAsia" w:hAnsiTheme="majorEastAsia" w:eastAsiaTheme="majorEastAsia"/>
          <w:b/>
          <w:color w:val="auto"/>
          <w:sz w:val="24"/>
          <w:highlight w:val="none"/>
        </w:rPr>
      </w:pPr>
      <w:bookmarkStart w:id="64" w:name="_Toc26643199"/>
      <w:bookmarkStart w:id="65" w:name="_Toc24479"/>
      <w:r>
        <w:rPr>
          <w:rFonts w:hint="eastAsia" w:asciiTheme="majorEastAsia" w:hAnsiTheme="majorEastAsia" w:eastAsiaTheme="majorEastAsia"/>
          <w:b/>
          <w:color w:val="auto"/>
          <w:sz w:val="28"/>
          <w:highlight w:val="none"/>
        </w:rPr>
        <w:t xml:space="preserve">第五章  </w:t>
      </w:r>
      <w:r>
        <w:rPr>
          <w:rFonts w:asciiTheme="majorEastAsia" w:hAnsiTheme="majorEastAsia" w:eastAsiaTheme="majorEastAsia"/>
          <w:b/>
          <w:color w:val="auto"/>
          <w:sz w:val="28"/>
          <w:highlight w:val="none"/>
        </w:rPr>
        <w:t>政府采购合同</w:t>
      </w:r>
      <w:bookmarkEnd w:id="64"/>
      <w:bookmarkEnd w:id="65"/>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66" w:name="_Toc17188"/>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66"/>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67" w:name="_Toc8103"/>
      <w:r>
        <w:rPr>
          <w:rFonts w:hint="eastAsia" w:cs="Times New Roman" w:asciiTheme="minorEastAsia" w:hAnsiTheme="minorEastAsia" w:eastAsiaTheme="minorEastAsia"/>
          <w:b/>
          <w:color w:val="000000" w:themeColor="text1"/>
          <w:sz w:val="28"/>
          <w:szCs w:val="28"/>
          <w14:textFill>
            <w14:solidFill>
              <w14:schemeClr w14:val="tx1"/>
            </w14:solidFill>
          </w14:textFill>
        </w:rPr>
        <w:t>（货物类）</w:t>
      </w:r>
      <w:bookmarkEnd w:id="67"/>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68" w:name="_Toc27072"/>
      <w:bookmarkStart w:id="69" w:name="_Toc24280"/>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68"/>
      <w:bookmarkEnd w:id="69"/>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hint="default" w:cs="Times New Roman"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lang w:val="en-US" w:eastAsia="zh-CN"/>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lang w:val="zh-CN"/>
          <w14:textFill>
            <w14:solidFill>
              <w14:schemeClr w14:val="tx1"/>
            </w14:solidFill>
          </w14:textFill>
        </w:rPr>
        <w:t>以下简称：甲方</w:t>
      </w:r>
      <w:r>
        <w:rPr>
          <w:rFonts w:hint="eastAsia" w:asciiTheme="majorEastAsia" w:hAnsiTheme="majorEastAsia" w:eastAsiaTheme="maj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组织的单一来源采购方式采购活动，经采购小组评定，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lang w:val="zh-CN"/>
          <w14:textFill>
            <w14:solidFill>
              <w14:schemeClr w14:val="tx1"/>
            </w14:solidFill>
          </w14:textFill>
        </w:rPr>
        <w:t>以下简称：乙方</w:t>
      </w:r>
      <w:r>
        <w:rPr>
          <w:rFonts w:hint="eastAsia" w:asciiTheme="majorEastAsia" w:hAnsiTheme="majorEastAsia" w:eastAsiaTheme="majorEastAsia"/>
          <w:color w:val="000000" w:themeColor="text1"/>
          <w:sz w:val="24"/>
          <w14:textFill>
            <w14:solidFill>
              <w14:schemeClr w14:val="tx1"/>
            </w14:solidFill>
          </w14:textFill>
        </w:rPr>
        <w:t>）为本项目成交供应商，现按照采购文件确定的事项签订本合同。</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70" w:name="_Toc24059"/>
      <w:bookmarkStart w:id="71" w:name="_Toc2232"/>
      <w:bookmarkStart w:id="72" w:name="_Toc3029"/>
      <w:r>
        <w:rPr>
          <w:rFonts w:hint="eastAsia" w:asciiTheme="majorEastAsia" w:hAnsiTheme="majorEastAsia" w:eastAsiaTheme="majorEastAsia"/>
          <w:b/>
          <w:bCs/>
          <w:color w:val="000000" w:themeColor="text1"/>
          <w:sz w:val="24"/>
          <w:lang w:val="zh-CN"/>
          <w14:textFill>
            <w14:solidFill>
              <w14:schemeClr w14:val="tx1"/>
            </w14:solidFill>
          </w14:textFill>
        </w:rPr>
        <w:t>1.1</w:t>
      </w:r>
      <w:r>
        <w:rPr>
          <w:rFonts w:asciiTheme="majorEastAsia" w:hAnsiTheme="majorEastAsia" w:eastAsiaTheme="majorEastAsia"/>
          <w:b/>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合同组成部分</w:t>
      </w:r>
      <w:bookmarkEnd w:id="70"/>
      <w:bookmarkEnd w:id="71"/>
      <w:bookmarkEnd w:id="72"/>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下列文件为本合同的组成部分，并构成一个整体，需综合解释、相互补充。如果下列文件内容出现不一致的情形，那么在保证按照采购文件确定事项的前提下，组成本合同的多个文件的优先适用顺序如下：</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1.1.1本合同及其补充合同、变更协议；</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1.1.2成交通知书；</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1.1.3响应文件（含澄清或者说明文件）；</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1.1.4单一来源采购文件（含澄清或者修改文件）；</w:t>
      </w:r>
    </w:p>
    <w:p>
      <w:pPr>
        <w:spacing w:line="360" w:lineRule="auto"/>
        <w:ind w:firstLine="435"/>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1.1.5其他相关采购文件。</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73" w:name="_Toc27126"/>
      <w:bookmarkStart w:id="74" w:name="_Toc21295"/>
      <w:bookmarkStart w:id="75" w:name="_Toc24300"/>
      <w:r>
        <w:rPr>
          <w:rFonts w:hint="eastAsia" w:asciiTheme="majorEastAsia" w:hAnsiTheme="majorEastAsia" w:eastAsiaTheme="majorEastAsia"/>
          <w:b/>
          <w:bCs/>
          <w:color w:val="000000" w:themeColor="text1"/>
          <w:sz w:val="24"/>
          <w:lang w:val="zh-CN"/>
          <w14:textFill>
            <w14:solidFill>
              <w14:schemeClr w14:val="tx1"/>
            </w14:solidFill>
          </w14:textFill>
        </w:rPr>
        <w:t>1.2</w:t>
      </w:r>
      <w:r>
        <w:rPr>
          <w:rFonts w:asciiTheme="majorEastAsia" w:hAnsiTheme="majorEastAsia" w:eastAsiaTheme="majorEastAsia"/>
          <w:b/>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货物</w:t>
      </w:r>
      <w:bookmarkEnd w:id="73"/>
      <w:bookmarkEnd w:id="74"/>
      <w:bookmarkEnd w:id="75"/>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515"/>
        <w:gridCol w:w="1515"/>
        <w:gridCol w:w="1512"/>
        <w:gridCol w:w="1512"/>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序号</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货物名称</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规格型号</w:t>
            </w: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单位</w:t>
            </w: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数量</w:t>
            </w:r>
          </w:p>
        </w:tc>
        <w:tc>
          <w:tcPr>
            <w:tcW w:w="885"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5"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2</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5"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asciiTheme="majorEastAsia" w:hAnsiTheme="majorEastAsia" w:eastAsiaTheme="majorEastAsia"/>
                <w:color w:val="000000" w:themeColor="text1"/>
                <w:sz w:val="24"/>
                <w:lang w:val="zh-CN"/>
                <w14:textFill>
                  <w14:solidFill>
                    <w14:schemeClr w14:val="tx1"/>
                  </w14:solidFill>
                </w14:textFill>
              </w:rPr>
              <w:t>3</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5"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w:t>
            </w: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9"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7"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c>
          <w:tcPr>
            <w:tcW w:w="885"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p>
        </w:tc>
      </w:tr>
    </w:tbl>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76" w:name="_Toc23292"/>
      <w:bookmarkStart w:id="77" w:name="_Toc21631"/>
      <w:bookmarkStart w:id="78" w:name="_Toc21551"/>
      <w:r>
        <w:rPr>
          <w:rFonts w:hint="eastAsia" w:asciiTheme="majorEastAsia" w:hAnsiTheme="majorEastAsia" w:eastAsiaTheme="majorEastAsia"/>
          <w:b/>
          <w:bCs/>
          <w:color w:val="000000" w:themeColor="text1"/>
          <w:sz w:val="24"/>
          <w:lang w:val="zh-CN"/>
          <w14:textFill>
            <w14:solidFill>
              <w14:schemeClr w14:val="tx1"/>
            </w14:solidFill>
          </w14:textFill>
        </w:rPr>
        <w:t>1.</w:t>
      </w:r>
      <w:r>
        <w:rPr>
          <w:rFonts w:asciiTheme="majorEastAsia" w:hAnsiTheme="majorEastAsia" w:eastAsiaTheme="majorEastAsia"/>
          <w:b/>
          <w:bCs/>
          <w:color w:val="000000" w:themeColor="text1"/>
          <w:sz w:val="24"/>
          <w:lang w:val="zh-CN"/>
          <w14:textFill>
            <w14:solidFill>
              <w14:schemeClr w14:val="tx1"/>
            </w14:solidFill>
          </w14:textFill>
        </w:rPr>
        <w:t xml:space="preserve">3 </w:t>
      </w:r>
      <w:r>
        <w:rPr>
          <w:rFonts w:hint="eastAsia" w:asciiTheme="majorEastAsia" w:hAnsiTheme="majorEastAsia" w:eastAsiaTheme="majorEastAsia"/>
          <w:b/>
          <w:bCs/>
          <w:color w:val="000000" w:themeColor="text1"/>
          <w:sz w:val="24"/>
          <w:lang w:val="zh-CN"/>
          <w14:textFill>
            <w14:solidFill>
              <w14:schemeClr w14:val="tx1"/>
            </w14:solidFill>
          </w14:textFill>
        </w:rPr>
        <w:t>价款</w:t>
      </w:r>
      <w:bookmarkEnd w:id="76"/>
      <w:bookmarkEnd w:id="77"/>
      <w:bookmarkEnd w:id="78"/>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本合同总价为</w:t>
      </w:r>
      <w:r>
        <w:rPr>
          <w:rFonts w:hint="eastAsia"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14:textFill>
            <w14:solidFill>
              <w14:schemeClr w14:val="tx1"/>
            </w14:solidFill>
          </w14:textFill>
        </w:rPr>
        <w:t>元</w:t>
      </w:r>
      <w:r>
        <w:rPr>
          <w:rFonts w:hint="eastAsia" w:asciiTheme="majorEastAsia" w:hAnsiTheme="majorEastAsia" w:eastAsiaTheme="majorEastAsia"/>
          <w:color w:val="000000" w:themeColor="text1"/>
          <w:sz w:val="24"/>
          <w14:textFill>
            <w14:solidFill>
              <w14:schemeClr w14:val="tx1"/>
            </w14:solidFill>
          </w14:textFill>
        </w:rPr>
        <w:t>（大写：人民币</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元）</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u w:val="single"/>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分项价格：</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4316"/>
        <w:gridCol w:w="14"/>
        <w:gridCol w:w="3223"/>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1" w:type="pct"/>
            <w:vAlign w:val="center"/>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asciiTheme="majorEastAsia" w:hAnsiTheme="majorEastAsia" w:eastAsiaTheme="majorEastAsia"/>
                <w:color w:val="000000" w:themeColor="text1"/>
                <w:sz w:val="24"/>
                <w:lang w:val="zh-CN"/>
                <w14:textFill>
                  <w14:solidFill>
                    <w14:schemeClr w14:val="tx1"/>
                  </w14:solidFill>
                </w14:textFill>
              </w:rPr>
              <w:t>序号</w:t>
            </w:r>
          </w:p>
        </w:tc>
        <w:tc>
          <w:tcPr>
            <w:tcW w:w="2532" w:type="pct"/>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分项名称</w:t>
            </w:r>
          </w:p>
        </w:tc>
        <w:tc>
          <w:tcPr>
            <w:tcW w:w="1899" w:type="pct"/>
            <w:gridSpan w:val="2"/>
            <w:vAlign w:val="center"/>
          </w:tcPr>
          <w:p>
            <w:pPr>
              <w:pStyle w:val="40"/>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1"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1</w:t>
            </w:r>
          </w:p>
        </w:tc>
        <w:tc>
          <w:tcPr>
            <w:tcW w:w="2532" w:type="pct"/>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1"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2</w:t>
            </w:r>
          </w:p>
        </w:tc>
        <w:tc>
          <w:tcPr>
            <w:tcW w:w="2532" w:type="pct"/>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1"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asciiTheme="majorEastAsia" w:hAnsiTheme="majorEastAsia" w:eastAsiaTheme="majorEastAsia"/>
                <w:color w:val="000000" w:themeColor="text1"/>
                <w:sz w:val="24"/>
                <w:lang w:val="zh-CN"/>
                <w14:textFill>
                  <w14:solidFill>
                    <w14:schemeClr w14:val="tx1"/>
                  </w14:solidFill>
                </w14:textFill>
              </w:rPr>
              <w:t>3</w:t>
            </w:r>
          </w:p>
        </w:tc>
        <w:tc>
          <w:tcPr>
            <w:tcW w:w="2532" w:type="pct"/>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1" w:type="pct"/>
          </w:tcPr>
          <w:p>
            <w:pPr>
              <w:jc w:val="center"/>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w:t>
            </w:r>
          </w:p>
        </w:tc>
        <w:tc>
          <w:tcPr>
            <w:tcW w:w="2532" w:type="pct"/>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c>
          <w:tcPr>
            <w:tcW w:w="1899" w:type="pct"/>
            <w:gridSpan w:val="2"/>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总价</w:t>
            </w:r>
          </w:p>
        </w:tc>
        <w:tc>
          <w:tcPr>
            <w:tcW w:w="1899" w:type="pct"/>
            <w:gridSpan w:val="2"/>
            <w:vAlign w:val="center"/>
          </w:tcPr>
          <w:p>
            <w:pPr>
              <w:pStyle w:val="40"/>
              <w:ind w:firstLine="200"/>
              <w:jc w:val="center"/>
              <w:rPr>
                <w:rFonts w:asciiTheme="majorEastAsia" w:hAnsiTheme="majorEastAsia" w:eastAsiaTheme="majorEastAsia"/>
                <w:color w:val="000000" w:themeColor="text1"/>
                <w:sz w:val="24"/>
                <w:szCs w:val="24"/>
                <w14:textFill>
                  <w14:solidFill>
                    <w14:schemeClr w14:val="tx1"/>
                  </w14:solidFill>
                </w14:textFill>
              </w:rPr>
            </w:pPr>
          </w:p>
        </w:tc>
      </w:tr>
    </w:tbl>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79" w:name="_Toc1814"/>
      <w:bookmarkStart w:id="80" w:name="_Toc10340"/>
      <w:bookmarkStart w:id="81" w:name="_Toc22618"/>
      <w:r>
        <w:rPr>
          <w:rFonts w:hint="eastAsia" w:asciiTheme="majorEastAsia" w:hAnsiTheme="majorEastAsia" w:eastAsiaTheme="majorEastAsia"/>
          <w:b/>
          <w:bCs/>
          <w:color w:val="000000" w:themeColor="text1"/>
          <w:sz w:val="24"/>
          <w:lang w:val="zh-CN"/>
          <w14:textFill>
            <w14:solidFill>
              <w14:schemeClr w14:val="tx1"/>
            </w14:solidFill>
          </w14:textFill>
        </w:rPr>
        <w:t>1.</w:t>
      </w:r>
      <w:r>
        <w:rPr>
          <w:rFonts w:asciiTheme="majorEastAsia" w:hAnsiTheme="majorEastAsia" w:eastAsiaTheme="majorEastAsia"/>
          <w:b/>
          <w:bCs/>
          <w:color w:val="000000" w:themeColor="text1"/>
          <w:sz w:val="24"/>
          <w:lang w:val="zh-CN"/>
          <w14:textFill>
            <w14:solidFill>
              <w14:schemeClr w14:val="tx1"/>
            </w14:solidFill>
          </w14:textFill>
        </w:rPr>
        <w:t>4 付款方式和发票开具方式</w:t>
      </w:r>
      <w:bookmarkEnd w:id="79"/>
      <w:bookmarkEnd w:id="80"/>
      <w:bookmarkEnd w:id="8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1.4.1</w:t>
      </w:r>
      <w:r>
        <w:rPr>
          <w:rFonts w:asciiTheme="majorEastAsia" w:hAnsiTheme="majorEastAsia" w:eastAsiaTheme="majorEastAsia"/>
          <w:color w:val="000000" w:themeColor="text1"/>
          <w:sz w:val="24"/>
          <w14:textFill>
            <w14:solidFill>
              <w14:schemeClr w14:val="tx1"/>
            </w14:solidFill>
          </w14:textFill>
        </w:rPr>
        <w:t>付款方式：</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1.4.2发票开具方式：</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82" w:name="_Toc19304"/>
      <w:bookmarkStart w:id="83" w:name="_Toc32071"/>
      <w:bookmarkStart w:id="84" w:name="_Toc2846"/>
      <w:r>
        <w:rPr>
          <w:rFonts w:hint="eastAsia" w:asciiTheme="majorEastAsia" w:hAnsiTheme="majorEastAsia" w:eastAsiaTheme="majorEastAsia"/>
          <w:b/>
          <w:bCs/>
          <w:color w:val="000000" w:themeColor="text1"/>
          <w:sz w:val="24"/>
          <w:lang w:val="zh-CN"/>
          <w14:textFill>
            <w14:solidFill>
              <w14:schemeClr w14:val="tx1"/>
            </w14:solidFill>
          </w14:textFill>
        </w:rPr>
        <w:t>1.</w:t>
      </w:r>
      <w:r>
        <w:rPr>
          <w:rFonts w:asciiTheme="majorEastAsia" w:hAnsiTheme="majorEastAsia" w:eastAsiaTheme="majorEastAsia"/>
          <w:b/>
          <w:bCs/>
          <w:color w:val="000000" w:themeColor="text1"/>
          <w:sz w:val="24"/>
          <w:lang w:val="zh-CN"/>
          <w14:textFill>
            <w14:solidFill>
              <w14:schemeClr w14:val="tx1"/>
            </w14:solidFill>
          </w14:textFill>
        </w:rPr>
        <w:t>5 货物交付期限</w:t>
      </w:r>
      <w:r>
        <w:rPr>
          <w:rFonts w:hint="eastAsia" w:asciiTheme="majorEastAsia" w:hAnsiTheme="majorEastAsia" w:eastAsiaTheme="majorEastAsia"/>
          <w:b/>
          <w:bCs/>
          <w:color w:val="000000" w:themeColor="text1"/>
          <w:sz w:val="24"/>
          <w:lang w:val="zh-CN"/>
          <w14:textFill>
            <w14:solidFill>
              <w14:schemeClr w14:val="tx1"/>
            </w14:solidFill>
          </w14:textFill>
        </w:rPr>
        <w:t>、地点和方式</w:t>
      </w:r>
      <w:bookmarkEnd w:id="82"/>
      <w:bookmarkEnd w:id="83"/>
      <w:bookmarkEnd w:id="84"/>
    </w:p>
    <w:p>
      <w:pPr>
        <w:spacing w:line="360" w:lineRule="auto"/>
        <w:ind w:firstLine="435"/>
        <w:rPr>
          <w:rFonts w:asciiTheme="majorEastAsia" w:hAnsiTheme="majorEastAsia" w:eastAsiaTheme="majorEastAsia"/>
          <w:color w:val="000000" w:themeColor="text1"/>
          <w:sz w:val="24"/>
          <w:u w:val="single"/>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1.5.1交付期限</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1.5.2交付地点</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1.5.3交付方式：</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85" w:name="_Toc19554"/>
      <w:bookmarkStart w:id="86" w:name="_Toc21423"/>
      <w:bookmarkStart w:id="87" w:name="_Toc27250"/>
      <w:r>
        <w:rPr>
          <w:rFonts w:hint="eastAsia" w:asciiTheme="majorEastAsia" w:hAnsiTheme="majorEastAsia" w:eastAsiaTheme="majorEastAsia"/>
          <w:b/>
          <w:bCs/>
          <w:color w:val="000000" w:themeColor="text1"/>
          <w:sz w:val="24"/>
          <w:lang w:val="zh-CN"/>
          <w14:textFill>
            <w14:solidFill>
              <w14:schemeClr w14:val="tx1"/>
            </w14:solidFill>
          </w14:textFill>
        </w:rPr>
        <w:t>1.6 违约责任</w:t>
      </w:r>
      <w:bookmarkEnd w:id="85"/>
      <w:bookmarkEnd w:id="86"/>
      <w:bookmarkEnd w:id="87"/>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1.6.1</w:t>
      </w:r>
      <w:r>
        <w:rPr>
          <w:rFonts w:asciiTheme="majorEastAsia" w:hAnsiTheme="majorEastAsia" w:eastAsiaTheme="majorEastAsia"/>
          <w:color w:val="000000" w:themeColor="text1"/>
          <w:sz w:val="24"/>
          <w14:textFill>
            <w14:solidFill>
              <w14:schemeClr w14:val="tx1"/>
            </w14:solidFill>
          </w14:textFill>
        </w:rPr>
        <w:t>除不可抗力外，如果乙方没有按照本合同约定的期限</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地点和方式交付货物，那么甲方可要求乙方支付违约金</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违约金按每迟延交付货物一日的应交付而未交付货物价格的</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14:textFill>
            <w14:solidFill>
              <w14:schemeClr w14:val="tx1"/>
            </w14:solidFill>
          </w14:textFill>
        </w:rPr>
        <w:t>%计算</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最高限额为</w:t>
      </w:r>
      <w:r>
        <w:rPr>
          <w:rFonts w:hint="eastAsia" w:asciiTheme="majorEastAsia" w:hAnsiTheme="majorEastAsia" w:eastAsiaTheme="majorEastAsia"/>
          <w:color w:val="000000" w:themeColor="text1"/>
          <w:sz w:val="24"/>
          <w14:textFill>
            <w14:solidFill>
              <w14:schemeClr w14:val="tx1"/>
            </w14:solidFill>
          </w14:textFill>
        </w:rPr>
        <w:t>本</w:t>
      </w:r>
      <w:r>
        <w:rPr>
          <w:rFonts w:asciiTheme="majorEastAsia" w:hAnsiTheme="majorEastAsia" w:eastAsiaTheme="majorEastAsia"/>
          <w:color w:val="000000" w:themeColor="text1"/>
          <w:sz w:val="24"/>
          <w14:textFill>
            <w14:solidFill>
              <w14:schemeClr w14:val="tx1"/>
            </w14:solidFill>
          </w14:textFill>
        </w:rPr>
        <w:t>合同总价的</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迟延交付货物的违约金计算数额达到前述最高限额之日起</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甲方有权在要求乙方支付违约金的同时</w:t>
      </w:r>
      <w:r>
        <w:rPr>
          <w:rFonts w:hint="eastAsia" w:asciiTheme="majorEastAsia" w:hAnsiTheme="majorEastAsia" w:eastAsiaTheme="majorEastAsia"/>
          <w:color w:val="000000" w:themeColor="text1"/>
          <w:sz w:val="24"/>
          <w14:textFill>
            <w14:solidFill>
              <w14:schemeClr w14:val="tx1"/>
            </w14:solidFill>
          </w14:textFill>
        </w:rPr>
        <w:t>，书面通知乙方</w:t>
      </w:r>
      <w:r>
        <w:rPr>
          <w:rFonts w:asciiTheme="majorEastAsia" w:hAnsiTheme="majorEastAsia" w:eastAsiaTheme="majorEastAsia"/>
          <w:color w:val="000000" w:themeColor="text1"/>
          <w:sz w:val="24"/>
          <w14:textFill>
            <w14:solidFill>
              <w14:schemeClr w14:val="tx1"/>
            </w14:solidFill>
          </w14:textFill>
        </w:rPr>
        <w:t>解除本合同</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1.6.2</w:t>
      </w:r>
      <w:r>
        <w:rPr>
          <w:rFonts w:asciiTheme="majorEastAsia" w:hAnsiTheme="majorEastAsia" w:eastAsiaTheme="majorEastAsia"/>
          <w:color w:val="000000" w:themeColor="text1"/>
          <w:sz w:val="24"/>
          <w14:textFill>
            <w14:solidFill>
              <w14:schemeClr w14:val="tx1"/>
            </w14:solidFill>
          </w14:textFill>
        </w:rPr>
        <w:t>除不可抗力外，如果甲方没有按照本合同约定的付款方式付款，那么乙方可要求甲方支付违约金</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违约金按每迟延</w:t>
      </w:r>
      <w:r>
        <w:rPr>
          <w:rFonts w:hint="eastAsia" w:asciiTheme="majorEastAsia" w:hAnsiTheme="majorEastAsia" w:eastAsiaTheme="majorEastAsia"/>
          <w:color w:val="000000" w:themeColor="text1"/>
          <w:sz w:val="24"/>
          <w14:textFill>
            <w14:solidFill>
              <w14:schemeClr w14:val="tx1"/>
            </w14:solidFill>
          </w14:textFill>
        </w:rPr>
        <w:t>付款</w:t>
      </w:r>
      <w:r>
        <w:rPr>
          <w:rFonts w:asciiTheme="majorEastAsia" w:hAnsiTheme="majorEastAsia" w:eastAsiaTheme="majorEastAsia"/>
          <w:color w:val="000000" w:themeColor="text1"/>
          <w:sz w:val="24"/>
          <w14:textFill>
            <w14:solidFill>
              <w14:schemeClr w14:val="tx1"/>
            </w14:solidFill>
          </w14:textFill>
        </w:rPr>
        <w:t>一日的应付而未付款的</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14:textFill>
            <w14:solidFill>
              <w14:schemeClr w14:val="tx1"/>
            </w14:solidFill>
          </w14:textFill>
        </w:rPr>
        <w:t>%计算</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最高限额为</w:t>
      </w:r>
      <w:r>
        <w:rPr>
          <w:rFonts w:hint="eastAsia" w:asciiTheme="majorEastAsia" w:hAnsiTheme="majorEastAsia" w:eastAsiaTheme="majorEastAsia"/>
          <w:color w:val="000000" w:themeColor="text1"/>
          <w:sz w:val="24"/>
          <w14:textFill>
            <w14:solidFill>
              <w14:schemeClr w14:val="tx1"/>
            </w14:solidFill>
          </w14:textFill>
        </w:rPr>
        <w:t>本</w:t>
      </w:r>
      <w:r>
        <w:rPr>
          <w:rFonts w:asciiTheme="majorEastAsia" w:hAnsiTheme="majorEastAsia" w:eastAsiaTheme="majorEastAsia"/>
          <w:color w:val="000000" w:themeColor="text1"/>
          <w:sz w:val="24"/>
          <w14:textFill>
            <w14:solidFill>
              <w14:schemeClr w14:val="tx1"/>
            </w14:solidFill>
          </w14:textFill>
        </w:rPr>
        <w:t>合同总价的</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迟延</w:t>
      </w:r>
      <w:r>
        <w:rPr>
          <w:rFonts w:hint="eastAsia" w:asciiTheme="majorEastAsia" w:hAnsiTheme="majorEastAsia" w:eastAsiaTheme="majorEastAsia"/>
          <w:color w:val="000000" w:themeColor="text1"/>
          <w:sz w:val="24"/>
          <w14:textFill>
            <w14:solidFill>
              <w14:schemeClr w14:val="tx1"/>
            </w14:solidFill>
          </w14:textFill>
        </w:rPr>
        <w:t>付款</w:t>
      </w:r>
      <w:r>
        <w:rPr>
          <w:rFonts w:asciiTheme="majorEastAsia" w:hAnsiTheme="majorEastAsia" w:eastAsiaTheme="majorEastAsia"/>
          <w:color w:val="000000" w:themeColor="text1"/>
          <w:sz w:val="24"/>
          <w14:textFill>
            <w14:solidFill>
              <w14:schemeClr w14:val="tx1"/>
            </w14:solidFill>
          </w14:textFill>
        </w:rPr>
        <w:t>的违约金计算数额达到前述最高限额之日起</w:t>
      </w:r>
      <w:r>
        <w:rPr>
          <w:rFonts w:hint="eastAsia" w:asciiTheme="majorEastAsia" w:hAnsiTheme="majorEastAsia" w:eastAsiaTheme="majorEastAsia"/>
          <w:color w:val="000000" w:themeColor="text1"/>
          <w:sz w:val="24"/>
          <w14:textFill>
            <w14:solidFill>
              <w14:schemeClr w14:val="tx1"/>
            </w14:solidFill>
          </w14:textFill>
        </w:rPr>
        <w:t>，乙</w:t>
      </w:r>
      <w:r>
        <w:rPr>
          <w:rFonts w:asciiTheme="majorEastAsia" w:hAnsiTheme="majorEastAsia" w:eastAsiaTheme="majorEastAsia"/>
          <w:color w:val="000000" w:themeColor="text1"/>
          <w:sz w:val="24"/>
          <w14:textFill>
            <w14:solidFill>
              <w14:schemeClr w14:val="tx1"/>
            </w14:solidFill>
          </w14:textFill>
        </w:rPr>
        <w:t>方有权在要求甲方支付违约金的同时</w:t>
      </w:r>
      <w:r>
        <w:rPr>
          <w:rFonts w:hint="eastAsia" w:asciiTheme="majorEastAsia" w:hAnsiTheme="majorEastAsia" w:eastAsiaTheme="majorEastAsia"/>
          <w:color w:val="000000" w:themeColor="text1"/>
          <w:sz w:val="24"/>
          <w14:textFill>
            <w14:solidFill>
              <w14:schemeClr w14:val="tx1"/>
            </w14:solidFill>
          </w14:textFill>
        </w:rPr>
        <w:t>，书面通知甲方</w:t>
      </w:r>
      <w:r>
        <w:rPr>
          <w:rFonts w:asciiTheme="majorEastAsia" w:hAnsiTheme="majorEastAsia" w:eastAsiaTheme="majorEastAsia"/>
          <w:color w:val="000000" w:themeColor="text1"/>
          <w:sz w:val="24"/>
          <w14:textFill>
            <w14:solidFill>
              <w14:schemeClr w14:val="tx1"/>
            </w14:solidFill>
          </w14:textFill>
        </w:rPr>
        <w:t>解除本合同</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1.6.7因甲方未按合同约定支付价款、未按合同约定受领标的物、擅自解除合同</w:t>
      </w:r>
      <w:r>
        <w:rPr>
          <w:rFonts w:hint="eastAsia" w:asciiTheme="majorEastAsia" w:hAnsiTheme="majorEastAsia" w:eastAsiaTheme="majorEastAsia"/>
          <w:color w:val="000000" w:themeColor="text1"/>
          <w:sz w:val="24"/>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asciiTheme="majorEastAsia" w:hAnsiTheme="majorEastAsia" w:eastAsiaTheme="majorEastAsia"/>
          <w:color w:val="000000" w:themeColor="text1"/>
          <w:sz w:val="24"/>
          <w14:textFill>
            <w14:solidFill>
              <w14:schemeClr w14:val="tx1"/>
            </w14:solidFill>
          </w14:textFill>
        </w:rPr>
        <w:t>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88" w:name="_Toc15583"/>
      <w:bookmarkStart w:id="89" w:name="_Toc28375"/>
      <w:bookmarkStart w:id="90" w:name="_Toc16021"/>
      <w:r>
        <w:rPr>
          <w:rFonts w:hint="eastAsia" w:asciiTheme="majorEastAsia" w:hAnsiTheme="majorEastAsia" w:eastAsiaTheme="majorEastAsia"/>
          <w:b/>
          <w:bCs/>
          <w:color w:val="000000" w:themeColor="text1"/>
          <w:sz w:val="24"/>
          <w:lang w:val="zh-CN"/>
          <w14:textFill>
            <w14:solidFill>
              <w14:schemeClr w14:val="tx1"/>
            </w14:solidFill>
          </w14:textFill>
        </w:rPr>
        <w:t>1.7</w:t>
      </w:r>
      <w:r>
        <w:rPr>
          <w:rFonts w:asciiTheme="majorEastAsia" w:hAnsiTheme="majorEastAsia" w:eastAsiaTheme="majorEastAsia"/>
          <w:b/>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合同</w:t>
      </w:r>
      <w:r>
        <w:rPr>
          <w:rFonts w:asciiTheme="majorEastAsia" w:hAnsiTheme="majorEastAsia" w:eastAsiaTheme="majorEastAsia"/>
          <w:b/>
          <w:bCs/>
          <w:color w:val="000000" w:themeColor="text1"/>
          <w:sz w:val="24"/>
          <w:lang w:val="zh-CN"/>
          <w14:textFill>
            <w14:solidFill>
              <w14:schemeClr w14:val="tx1"/>
            </w14:solidFill>
          </w14:textFill>
        </w:rPr>
        <w:t>争议的解决</w:t>
      </w:r>
      <w:bookmarkEnd w:id="88"/>
      <w:bookmarkEnd w:id="89"/>
      <w:bookmarkEnd w:id="90"/>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本合</w:t>
      </w:r>
      <w:r>
        <w:rPr>
          <w:rFonts w:asciiTheme="majorEastAsia" w:hAnsiTheme="majorEastAsia" w:eastAsiaTheme="majorEastAsia"/>
          <w:color w:val="000000" w:themeColor="text1"/>
          <w:sz w:val="24"/>
          <w14:textFill>
            <w14:solidFill>
              <w14:schemeClr w14:val="tx1"/>
            </w14:solidFill>
          </w14:textFill>
        </w:rPr>
        <w:t>同履行过程中发生的任何争议，双方当事人均可</w:t>
      </w:r>
      <w:r>
        <w:rPr>
          <w:rFonts w:hint="eastAsia" w:asciiTheme="majorEastAsia" w:hAnsiTheme="majorEastAsia" w:eastAsiaTheme="majorEastAsia"/>
          <w:color w:val="000000" w:themeColor="text1"/>
          <w:sz w:val="24"/>
          <w14:textFill>
            <w14:solidFill>
              <w14:schemeClr w14:val="tx1"/>
            </w14:solidFill>
          </w14:textFill>
        </w:rPr>
        <w:t>通过和解或者调解解决；不愿和解、调解或者和解、调解不成的，可以选择下列第</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种方式解决：</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1.7.1将争议提交</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仲裁委员会依申请仲裁时其现行有效的仲裁规则裁决；</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1.7.2向</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人民法院起诉。</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91" w:name="_Toc7245"/>
      <w:bookmarkStart w:id="92" w:name="_Toc11173"/>
      <w:bookmarkStart w:id="93" w:name="_Toc15322"/>
      <w:r>
        <w:rPr>
          <w:rFonts w:hint="eastAsia" w:asciiTheme="majorEastAsia" w:hAnsiTheme="majorEastAsia" w:eastAsiaTheme="majorEastAsia"/>
          <w:b/>
          <w:bCs/>
          <w:color w:val="000000" w:themeColor="text1"/>
          <w:sz w:val="24"/>
          <w:lang w:val="zh-CN"/>
          <w14:textFill>
            <w14:solidFill>
              <w14:schemeClr w14:val="tx1"/>
            </w14:solidFill>
          </w14:textFill>
        </w:rPr>
        <w:t>1.8</w:t>
      </w:r>
      <w:r>
        <w:rPr>
          <w:rFonts w:asciiTheme="majorEastAsia" w:hAnsiTheme="majorEastAsia" w:eastAsiaTheme="majorEastAsia"/>
          <w:b/>
          <w:bCs/>
          <w:color w:val="000000" w:themeColor="text1"/>
          <w:sz w:val="24"/>
          <w:lang w:val="zh-CN"/>
          <w14:textFill>
            <w14:solidFill>
              <w14:schemeClr w14:val="tx1"/>
            </w14:solidFill>
          </w14:textFill>
        </w:rPr>
        <w:t xml:space="preserve"> 合同生效</w:t>
      </w:r>
      <w:bookmarkEnd w:id="91"/>
      <w:bookmarkEnd w:id="92"/>
      <w:bookmarkEnd w:id="93"/>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本合同自</w:t>
      </w:r>
      <w:r>
        <w:rPr>
          <w:rFonts w:hint="eastAsia" w:asciiTheme="majorEastAsia" w:hAnsiTheme="majorEastAsia" w:eastAsiaTheme="majorEastAsia"/>
          <w:color w:val="000000" w:themeColor="text1"/>
          <w:sz w:val="24"/>
          <w14:textFill>
            <w14:solidFill>
              <w14:schemeClr w14:val="tx1"/>
            </w14:solidFill>
          </w14:textFill>
        </w:rPr>
        <w:t>双方当事人盖章时</w:t>
      </w:r>
      <w:r>
        <w:rPr>
          <w:rFonts w:asciiTheme="majorEastAsia" w:hAnsiTheme="majorEastAsia" w:eastAsiaTheme="majorEastAsia"/>
          <w:color w:val="000000" w:themeColor="text1"/>
          <w:sz w:val="24"/>
          <w14:textFill>
            <w14:solidFill>
              <w14:schemeClr w14:val="tx1"/>
            </w14:solidFill>
          </w14:textFill>
        </w:rPr>
        <w:t>生效。</w:t>
      </w:r>
    </w:p>
    <w:p>
      <w:pPr>
        <w:autoSpaceDE w:val="0"/>
        <w:autoSpaceDN w:val="0"/>
        <w:adjustRightInd w:val="0"/>
        <w:spacing w:line="560" w:lineRule="exact"/>
        <w:rPr>
          <w:rFonts w:asciiTheme="majorEastAsia" w:hAnsiTheme="majorEastAsia" w:eastAsiaTheme="maj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ajorEastAsia" w:hAnsiTheme="majorEastAsia" w:eastAsiaTheme="majorEastAsia"/>
          <w:color w:val="000000" w:themeColor="text1"/>
          <w:sz w:val="24"/>
          <w:lang w:val="zh-CN"/>
          <w14:textFill>
            <w14:solidFill>
              <w14:schemeClr w14:val="tx1"/>
            </w14:solidFill>
          </w14:textFill>
        </w:rPr>
      </w:pPr>
    </w:p>
    <w:p>
      <w:pPr>
        <w:autoSpaceDE w:val="0"/>
        <w:autoSpaceDN w:val="0"/>
        <w:adjustRightInd w:val="0"/>
        <w:spacing w:line="560" w:lineRule="exact"/>
        <w:rPr>
          <w:rFonts w:asciiTheme="majorEastAsia" w:hAnsiTheme="majorEastAsia" w:eastAsiaTheme="majorEastAsia"/>
          <w:bCs/>
          <w:color w:val="000000" w:themeColor="text1"/>
          <w:sz w:val="24"/>
          <w:lang w:val="zh-CN"/>
          <w14:textFill>
            <w14:solidFill>
              <w14:schemeClr w14:val="tx1"/>
            </w14:solidFill>
          </w14:textFill>
        </w:rPr>
      </w:pPr>
      <w:r>
        <w:rPr>
          <w:rFonts w:hint="eastAsia" w:asciiTheme="majorEastAsia" w:hAnsiTheme="majorEastAsia" w:eastAsiaTheme="majorEastAsia"/>
          <w:bCs/>
          <w:color w:val="000000" w:themeColor="text1"/>
          <w:sz w:val="24"/>
          <w:lang w:val="zh-CN"/>
          <w14:textFill>
            <w14:solidFill>
              <w14:schemeClr w14:val="tx1"/>
            </w14:solidFill>
          </w14:textFill>
        </w:rPr>
        <w:t xml:space="preserve">甲 </w:t>
      </w:r>
      <w:r>
        <w:rPr>
          <w:rFonts w:asciiTheme="majorEastAsia" w:hAnsiTheme="majorEastAsia" w:eastAsiaTheme="majorEastAsia"/>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Cs/>
          <w:color w:val="000000" w:themeColor="text1"/>
          <w:sz w:val="24"/>
          <w:lang w:val="zh-CN"/>
          <w14:textFill>
            <w14:solidFill>
              <w14:schemeClr w14:val="tx1"/>
            </w14:solidFill>
          </w14:textFill>
        </w:rPr>
        <w:t>方：</w:t>
      </w:r>
      <w:r>
        <w:rPr>
          <w:rFonts w:hint="eastAsia" w:asciiTheme="majorEastAsia" w:hAnsiTheme="majorEastAsia" w:eastAsiaTheme="majorEastAsia"/>
          <w:bCs/>
          <w:color w:val="000000" w:themeColor="text1"/>
          <w:sz w:val="24"/>
          <w:u w:val="single"/>
          <w:lang w:val="zh-CN"/>
          <w14:textFill>
            <w14:solidFill>
              <w14:schemeClr w14:val="tx1"/>
            </w14:solidFill>
          </w14:textFill>
        </w:rPr>
        <w:t xml:space="preserve">    （单位盖章）     </w:t>
      </w:r>
      <w:r>
        <w:rPr>
          <w:rFonts w:hint="eastAsia" w:asciiTheme="majorEastAsia" w:hAnsiTheme="majorEastAsia" w:eastAsiaTheme="majorEastAsia"/>
          <w:bCs/>
          <w:color w:val="000000" w:themeColor="text1"/>
          <w:sz w:val="24"/>
          <w:lang w:val="zh-CN"/>
          <w14:textFill>
            <w14:solidFill>
              <w14:schemeClr w14:val="tx1"/>
            </w14:solidFill>
          </w14:textFill>
        </w:rPr>
        <w:t xml:space="preserve">          乙方：</w:t>
      </w:r>
      <w:r>
        <w:rPr>
          <w:rFonts w:hint="eastAsia" w:asciiTheme="majorEastAsia" w:hAnsiTheme="majorEastAsia" w:eastAsiaTheme="majorEastAsia"/>
          <w:bCs/>
          <w:color w:val="000000" w:themeColor="text1"/>
          <w:sz w:val="24"/>
          <w:u w:val="single"/>
          <w:lang w:val="zh-CN"/>
          <w14:textFill>
            <w14:solidFill>
              <w14:schemeClr w14:val="tx1"/>
            </w14:solidFill>
          </w14:textFill>
        </w:rPr>
        <w:t xml:space="preserve">    （单位盖章）     </w:t>
      </w:r>
    </w:p>
    <w:p>
      <w:pPr>
        <w:autoSpaceDE w:val="0"/>
        <w:autoSpaceDN w:val="0"/>
        <w:adjustRightInd w:val="0"/>
        <w:spacing w:line="560" w:lineRule="exact"/>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 xml:space="preserve">法定代表人                             </w:t>
      </w:r>
      <w:r>
        <w:rPr>
          <w:rFonts w:asciiTheme="majorEastAsia" w:hAnsiTheme="majorEastAsia" w:eastAsiaTheme="majorEastAsia"/>
          <w:color w:val="000000" w:themeColor="text1"/>
          <w:sz w:val="24"/>
          <w:lang w:val="zh-CN"/>
          <w14:textFill>
            <w14:solidFill>
              <w14:schemeClr w14:val="tx1"/>
            </w14:solidFill>
          </w14:textFill>
        </w:rPr>
        <w:t xml:space="preserve">  </w:t>
      </w:r>
      <w:r>
        <w:rPr>
          <w:rFonts w:hint="eastAsia" w:asciiTheme="majorEastAsia" w:hAnsiTheme="majorEastAsia" w:eastAsiaTheme="majorEastAsia"/>
          <w:color w:val="000000" w:themeColor="text1"/>
          <w:sz w:val="24"/>
          <w:lang w:val="zh-CN"/>
          <w14:textFill>
            <w14:solidFill>
              <w14:schemeClr w14:val="tx1"/>
            </w14:solidFill>
          </w14:textFill>
        </w:rPr>
        <w:t>法定代表人</w:t>
      </w:r>
    </w:p>
    <w:p>
      <w:pPr>
        <w:autoSpaceDE w:val="0"/>
        <w:autoSpaceDN w:val="0"/>
        <w:adjustRightInd w:val="0"/>
        <w:spacing w:line="560" w:lineRule="exact"/>
        <w:rPr>
          <w:rFonts w:asciiTheme="majorEastAsia" w:hAnsiTheme="majorEastAsia" w:eastAsiaTheme="majorEastAsia"/>
          <w:color w:val="000000" w:themeColor="text1"/>
          <w:sz w:val="24"/>
          <w:lang w:val="zh-CN"/>
          <w14:textFill>
            <w14:solidFill>
              <w14:schemeClr w14:val="tx1"/>
            </w14:solidFill>
          </w14:textFill>
        </w:rPr>
      </w:pPr>
      <w:r>
        <w:rPr>
          <w:rFonts w:hint="eastAsia" w:asciiTheme="majorEastAsia" w:hAnsiTheme="majorEastAsia" w:eastAsiaTheme="majorEastAsia"/>
          <w:color w:val="000000" w:themeColor="text1"/>
          <w:sz w:val="24"/>
          <w:lang w:val="zh-CN"/>
          <w14:textFill>
            <w14:solidFill>
              <w14:schemeClr w14:val="tx1"/>
            </w14:solidFill>
          </w14:textFill>
        </w:rPr>
        <w:t>或授权代表（签字）：                      或授权代表（签字）：</w:t>
      </w:r>
    </w:p>
    <w:p>
      <w:pPr>
        <w:widowControl/>
        <w:spacing w:line="560" w:lineRule="exact"/>
        <w:jc w:val="left"/>
        <w:rPr>
          <w:rFonts w:asciiTheme="majorEastAsia" w:hAnsiTheme="majorEastAsia" w:eastAsiaTheme="majorEastAsia"/>
          <w:bCs/>
          <w:color w:val="000000" w:themeColor="text1"/>
          <w:sz w:val="24"/>
          <w14:textFill>
            <w14:solidFill>
              <w14:schemeClr w14:val="tx1"/>
            </w14:solidFill>
          </w14:textFill>
        </w:rPr>
      </w:pPr>
      <w:bookmarkStart w:id="94" w:name="_Toc331685783"/>
      <w:r>
        <w:rPr>
          <w:rFonts w:hint="eastAsia" w:asciiTheme="majorEastAsia" w:hAnsiTheme="majorEastAsia" w:eastAsiaTheme="majorEastAsia"/>
          <w:bCs/>
          <w:color w:val="000000" w:themeColor="text1"/>
          <w:sz w:val="24"/>
          <w14:textFill>
            <w14:solidFill>
              <w14:schemeClr w14:val="tx1"/>
            </w14:solidFill>
          </w14:textFill>
        </w:rPr>
        <w:t>时间：</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年</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月</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日               时间：</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年</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月</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14:textFill>
            <w14:solidFill>
              <w14:schemeClr w14:val="tx1"/>
            </w14:solidFill>
          </w14:textFill>
        </w:rPr>
        <w:t>日</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乙方账户信息</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户名：</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账号：</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开户银行：</w:t>
      </w:r>
      <w:r>
        <w:rPr>
          <w:rFonts w:hint="eastAsia" w:ascii="宋体" w:hAnsi="宋体" w:eastAsia="宋体"/>
          <w:color w:val="000000" w:themeColor="text1"/>
          <w:sz w:val="24"/>
          <w:szCs w:val="24"/>
          <w:u w:val="single"/>
          <w14:textFill>
            <w14:solidFill>
              <w14:schemeClr w14:val="tx1"/>
            </w14:solidFill>
          </w14:textFill>
        </w:rPr>
        <w:t xml:space="preserve">        </w:t>
      </w:r>
    </w:p>
    <w:p>
      <w:pPr>
        <w:widowControl/>
        <w:jc w:val="left"/>
        <w:rPr>
          <w:rFonts w:asciiTheme="majorEastAsia" w:hAnsiTheme="majorEastAsia" w:eastAsiaTheme="majorEastAsia"/>
          <w:b/>
          <w:color w:val="000000" w:themeColor="text1"/>
          <w:sz w:val="24"/>
          <w14:textFill>
            <w14:solidFill>
              <w14:schemeClr w14:val="tx1"/>
            </w14:solidFill>
          </w14:textFill>
        </w:rPr>
      </w:pPr>
      <w:r>
        <w:rPr>
          <w:rFonts w:asciiTheme="majorEastAsia" w:hAnsiTheme="majorEastAsia" w:eastAsiaTheme="majorEastAsia"/>
          <w:b/>
          <w:color w:val="000000" w:themeColor="text1"/>
          <w:sz w:val="24"/>
          <w14:textFill>
            <w14:solidFill>
              <w14:schemeClr w14:val="tx1"/>
            </w14:solidFill>
          </w14:textFill>
        </w:rPr>
        <w:br w:type="page"/>
      </w:r>
    </w:p>
    <w:p>
      <w:pPr>
        <w:spacing w:line="360" w:lineRule="auto"/>
        <w:jc w:val="center"/>
        <w:outlineLvl w:val="1"/>
        <w:rPr>
          <w:rFonts w:asciiTheme="majorEastAsia" w:hAnsiTheme="majorEastAsia" w:eastAsiaTheme="majorEastAsia"/>
          <w:b/>
          <w:color w:val="000000" w:themeColor="text1"/>
          <w:sz w:val="24"/>
          <w14:textFill>
            <w14:solidFill>
              <w14:schemeClr w14:val="tx1"/>
            </w14:solidFill>
          </w14:textFill>
        </w:rPr>
      </w:pPr>
      <w:bookmarkStart w:id="95" w:name="_Toc16795"/>
      <w:bookmarkStart w:id="96" w:name="_Toc9542"/>
      <w:r>
        <w:rPr>
          <w:rFonts w:hint="eastAsia" w:asciiTheme="majorEastAsia" w:hAnsiTheme="majorEastAsia" w:eastAsiaTheme="majorEastAsia"/>
          <w:b/>
          <w:color w:val="000000" w:themeColor="text1"/>
          <w:sz w:val="24"/>
          <w14:textFill>
            <w14:solidFill>
              <w14:schemeClr w14:val="tx1"/>
            </w14:solidFill>
          </w14:textFill>
        </w:rPr>
        <w:t>第二部分</w:t>
      </w:r>
      <w:r>
        <w:rPr>
          <w:rFonts w:asciiTheme="majorEastAsia" w:hAnsiTheme="majorEastAsia" w:eastAsiaTheme="majorEastAsia"/>
          <w:b/>
          <w:color w:val="000000" w:themeColor="text1"/>
          <w:sz w:val="24"/>
          <w14:textFill>
            <w14:solidFill>
              <w14:schemeClr w14:val="tx1"/>
            </w14:solidFill>
          </w14:textFill>
        </w:rPr>
        <w:t xml:space="preserve"> </w:t>
      </w:r>
      <w:r>
        <w:rPr>
          <w:rFonts w:hint="eastAsia" w:asciiTheme="majorEastAsia" w:hAnsiTheme="majorEastAsia" w:eastAsiaTheme="majorEastAsia"/>
          <w:b/>
          <w:color w:val="000000" w:themeColor="text1"/>
          <w:sz w:val="24"/>
          <w14:textFill>
            <w14:solidFill>
              <w14:schemeClr w14:val="tx1"/>
            </w14:solidFill>
          </w14:textFill>
        </w:rPr>
        <w:t>合同一般条款</w:t>
      </w:r>
      <w:bookmarkEnd w:id="94"/>
      <w:bookmarkEnd w:id="95"/>
      <w:bookmarkEnd w:id="96"/>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97" w:name="_Ref467379214"/>
      <w:bookmarkStart w:id="98" w:name="_Toc259093669"/>
      <w:bookmarkStart w:id="99" w:name="_Toc19614"/>
      <w:bookmarkStart w:id="100" w:name="_Toc279701240"/>
      <w:bookmarkStart w:id="101" w:name="_Toc16917"/>
      <w:bookmarkStart w:id="102" w:name="_Ref467378404"/>
      <w:bookmarkStart w:id="103" w:name="_Ref467379225"/>
      <w:bookmarkStart w:id="104" w:name="_Toc28763"/>
      <w:bookmarkStart w:id="105" w:name="_Toc487900349"/>
      <w:bookmarkStart w:id="106" w:name="_Ref467379109"/>
      <w:bookmarkStart w:id="107" w:name="_Ref467379195"/>
      <w:bookmarkStart w:id="108" w:name="_Ref467378499"/>
      <w:bookmarkStart w:id="109" w:name="_Ref467379094"/>
      <w:bookmarkStart w:id="110" w:name="_Ref467379101"/>
      <w:bookmarkStart w:id="111" w:name="_Ref467378463"/>
      <w:bookmarkStart w:id="112" w:name="_Ref467379205"/>
      <w:r>
        <w:rPr>
          <w:rFonts w:hint="eastAsia" w:asciiTheme="majorEastAsia" w:hAnsiTheme="majorEastAsia" w:eastAsiaTheme="majorEastAsia"/>
          <w:b/>
          <w:bCs/>
          <w:color w:val="000000" w:themeColor="text1"/>
          <w:sz w:val="24"/>
          <w:lang w:val="zh-CN"/>
          <w14:textFill>
            <w14:solidFill>
              <w14:schemeClr w14:val="tx1"/>
            </w14:solidFill>
          </w14:textFill>
        </w:rPr>
        <w:t>2.1</w:t>
      </w:r>
      <w:r>
        <w:rPr>
          <w:rFonts w:asciiTheme="majorEastAsia" w:hAnsiTheme="majorEastAsia" w:eastAsiaTheme="majorEastAsia"/>
          <w:b/>
          <w:bCs/>
          <w:color w:val="000000" w:themeColor="text1"/>
          <w:sz w:val="24"/>
          <w:lang w:val="zh-CN"/>
          <w14:textFill>
            <w14:solidFill>
              <w14:schemeClr w14:val="tx1"/>
            </w14:solidFill>
          </w14:textFill>
        </w:rPr>
        <w:t xml:space="preserve"> 定义</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本合同中的下列</w:t>
      </w:r>
      <w:r>
        <w:rPr>
          <w:rFonts w:hint="eastAsia" w:asciiTheme="majorEastAsia" w:hAnsiTheme="majorEastAsia" w:eastAsiaTheme="majorEastAsia"/>
          <w:color w:val="000000" w:themeColor="text1"/>
          <w:sz w:val="24"/>
          <w14:textFill>
            <w14:solidFill>
              <w14:schemeClr w14:val="tx1"/>
            </w14:solidFill>
          </w14:textFill>
        </w:rPr>
        <w:t>词</w:t>
      </w:r>
      <w:r>
        <w:rPr>
          <w:rFonts w:asciiTheme="majorEastAsia" w:hAnsiTheme="majorEastAsia" w:eastAsiaTheme="majorEastAsia"/>
          <w:color w:val="000000" w:themeColor="text1"/>
          <w:sz w:val="24"/>
          <w14:textFill>
            <w14:solidFill>
              <w14:schemeClr w14:val="tx1"/>
            </w14:solidFill>
          </w14:textFill>
        </w:rPr>
        <w:t>语应</w:t>
      </w:r>
      <w:r>
        <w:rPr>
          <w:rFonts w:hint="eastAsia" w:asciiTheme="majorEastAsia" w:hAnsiTheme="majorEastAsia" w:eastAsiaTheme="majorEastAsia"/>
          <w:color w:val="000000" w:themeColor="text1"/>
          <w:sz w:val="24"/>
          <w14:textFill>
            <w14:solidFill>
              <w14:schemeClr w14:val="tx1"/>
            </w14:solidFill>
          </w14:textFill>
        </w:rPr>
        <w:t>按以下内容进行</w:t>
      </w:r>
      <w:r>
        <w:rPr>
          <w:rFonts w:asciiTheme="majorEastAsia" w:hAnsiTheme="majorEastAsia" w:eastAsiaTheme="majorEastAsia"/>
          <w:color w:val="000000" w:themeColor="text1"/>
          <w:sz w:val="24"/>
          <w14:textFill>
            <w14:solidFill>
              <w14:schemeClr w14:val="tx1"/>
            </w14:solidFill>
          </w14:textFill>
        </w:rPr>
        <w:t>解释：</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.1</w:t>
      </w:r>
      <w:r>
        <w:rPr>
          <w:rFonts w:asciiTheme="majorEastAsia" w:hAnsiTheme="majorEastAsia" w:eastAsiaTheme="majorEastAsia"/>
          <w:color w:val="000000" w:themeColor="text1"/>
          <w:sz w:val="24"/>
          <w14:textFill>
            <w14:solidFill>
              <w14:schemeClr w14:val="tx1"/>
            </w14:solidFill>
          </w14:textFill>
        </w:rPr>
        <w:t>“合同”系指采购人和成交供应商签订的载明双方当事人所达成的协议，并包括所有的附件、附录和构成合同的其他文件。</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1.2“合同价”系指根据合同约定，成交供应商在完全履行合同义务后</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采购人应支付给成交供应商的价格。</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1.3“货物”系指</w:t>
      </w:r>
      <w:r>
        <w:rPr>
          <w:rFonts w:hint="eastAsia" w:asciiTheme="majorEastAsia" w:hAnsiTheme="majorEastAsia" w:eastAsiaTheme="majorEastAsia"/>
          <w:color w:val="000000" w:themeColor="text1"/>
          <w:sz w:val="24"/>
          <w14:textFill>
            <w14:solidFill>
              <w14:schemeClr w14:val="tx1"/>
            </w14:solidFill>
          </w14:textFill>
        </w:rPr>
        <w:t>成交供应商</w:t>
      </w:r>
      <w:r>
        <w:rPr>
          <w:rFonts w:asciiTheme="majorEastAsia" w:hAnsiTheme="majorEastAsia" w:eastAsiaTheme="majorEastAsia"/>
          <w:color w:val="000000" w:themeColor="text1"/>
          <w:sz w:val="24"/>
          <w14:textFill>
            <w14:solidFill>
              <w14:schemeClr w14:val="tx1"/>
            </w14:solidFill>
          </w14:textFill>
        </w:rPr>
        <w:t>根据合同约定应向采购人交付的一切</w:t>
      </w:r>
      <w:r>
        <w:rPr>
          <w:rFonts w:hint="eastAsia" w:asciiTheme="majorEastAsia" w:hAnsiTheme="majorEastAsia" w:eastAsiaTheme="majorEastAsia"/>
          <w:color w:val="000000" w:themeColor="text1"/>
          <w:sz w:val="24"/>
          <w14:textFill>
            <w14:solidFill>
              <w14:schemeClr w14:val="tx1"/>
            </w14:solidFill>
          </w14:textFill>
        </w:rPr>
        <w:t>各种形态和种类的物品，包括原材料、燃料、设备、</w:t>
      </w:r>
      <w:r>
        <w:rPr>
          <w:rFonts w:asciiTheme="majorEastAsia" w:hAnsiTheme="majorEastAsia" w:eastAsiaTheme="majorEastAsia"/>
          <w:color w:val="000000" w:themeColor="text1"/>
          <w:sz w:val="24"/>
          <w14:textFill>
            <w14:solidFill>
              <w14:schemeClr w14:val="tx1"/>
            </w14:solidFill>
          </w14:textFill>
        </w:rPr>
        <w:t>机械、仪表、备件</w:t>
      </w:r>
      <w:r>
        <w:rPr>
          <w:rFonts w:hint="eastAsia" w:asciiTheme="majorEastAsia" w:hAnsiTheme="majorEastAsia" w:eastAsiaTheme="majorEastAsia"/>
          <w:color w:val="000000" w:themeColor="text1"/>
          <w:sz w:val="24"/>
          <w14:textFill>
            <w14:solidFill>
              <w14:schemeClr w14:val="tx1"/>
            </w14:solidFill>
          </w14:textFill>
        </w:rPr>
        <w:t>、计算机软件、产品等</w:t>
      </w:r>
      <w:r>
        <w:rPr>
          <w:rFonts w:asciiTheme="majorEastAsia" w:hAnsiTheme="majorEastAsia" w:eastAsiaTheme="majorEastAsia"/>
          <w:color w:val="000000" w:themeColor="text1"/>
          <w:sz w:val="24"/>
          <w14:textFill>
            <w14:solidFill>
              <w14:schemeClr w14:val="tx1"/>
            </w14:solidFill>
          </w14:textFill>
        </w:rPr>
        <w:t>，并包括工具、手册等其他相关资料。</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bookmarkStart w:id="113" w:name="_Ref467378840"/>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4</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甲方</w:t>
      </w:r>
      <w:r>
        <w:rPr>
          <w:rFonts w:asciiTheme="majorEastAsia" w:hAnsiTheme="majorEastAsia" w:eastAsiaTheme="majorEastAsia"/>
          <w:color w:val="000000" w:themeColor="text1"/>
          <w:sz w:val="24"/>
          <w14:textFill>
            <w14:solidFill>
              <w14:schemeClr w14:val="tx1"/>
            </w14:solidFill>
          </w14:textFill>
        </w:rPr>
        <w:t>”系指与</w:t>
      </w:r>
      <w:r>
        <w:rPr>
          <w:rFonts w:hint="eastAsia" w:asciiTheme="majorEastAsia" w:hAnsiTheme="majorEastAsia" w:eastAsiaTheme="majorEastAsia"/>
          <w:color w:val="000000" w:themeColor="text1"/>
          <w:sz w:val="24"/>
          <w14:textFill>
            <w14:solidFill>
              <w14:schemeClr w14:val="tx1"/>
            </w14:solidFill>
          </w14:textFill>
        </w:rPr>
        <w:t>成交供应商</w:t>
      </w:r>
      <w:r>
        <w:rPr>
          <w:rFonts w:asciiTheme="majorEastAsia" w:hAnsiTheme="majorEastAsia" w:eastAsiaTheme="majorEastAsia"/>
          <w:color w:val="000000" w:themeColor="text1"/>
          <w:sz w:val="24"/>
          <w14:textFill>
            <w14:solidFill>
              <w14:schemeClr w14:val="tx1"/>
            </w14:solidFill>
          </w14:textFill>
        </w:rPr>
        <w:t>签署合同的采购人</w:t>
      </w:r>
      <w:bookmarkEnd w:id="113"/>
      <w:r>
        <w:rPr>
          <w:rFonts w:hint="eastAsia" w:asciiTheme="majorEastAsia" w:hAnsiTheme="majorEastAsia" w:eastAsiaTheme="majorEastAsia"/>
          <w:color w:val="000000" w:themeColor="text1"/>
          <w:sz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bookmarkStart w:id="114" w:name="_Ref467379400"/>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5</w:t>
      </w:r>
      <w:r>
        <w:rPr>
          <w:rFonts w:asciiTheme="majorEastAsia" w:hAnsiTheme="majorEastAsia" w:eastAsiaTheme="majorEastAsia"/>
          <w:color w:val="000000" w:themeColor="text1"/>
          <w:sz w:val="24"/>
          <w14:textFill>
            <w14:solidFill>
              <w14:schemeClr w14:val="tx1"/>
            </w14:solidFill>
          </w14:textFill>
        </w:rPr>
        <w:t>“乙方”系指根据合同约定交付货物的成交供应商</w:t>
      </w:r>
      <w:bookmarkEnd w:id="114"/>
      <w:r>
        <w:rPr>
          <w:rFonts w:hint="eastAsia" w:asciiTheme="majorEastAsia" w:hAnsiTheme="majorEastAsia" w:eastAsiaTheme="majorEastAsia"/>
          <w:color w:val="000000" w:themeColor="text1"/>
          <w:sz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bookmarkStart w:id="115" w:name="_Ref467379436"/>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6</w:t>
      </w:r>
      <w:r>
        <w:rPr>
          <w:rFonts w:asciiTheme="majorEastAsia" w:hAnsiTheme="majorEastAsia" w:eastAsiaTheme="majorEastAsia"/>
          <w:color w:val="000000" w:themeColor="text1"/>
          <w:sz w:val="24"/>
          <w14:textFill>
            <w14:solidFill>
              <w14:schemeClr w14:val="tx1"/>
            </w14:solidFill>
          </w14:textFill>
        </w:rPr>
        <w:t>“现场”系指合同约定货物将要运至</w:t>
      </w:r>
      <w:r>
        <w:rPr>
          <w:rFonts w:hint="eastAsia" w:asciiTheme="majorEastAsia" w:hAnsiTheme="majorEastAsia" w:eastAsiaTheme="majorEastAsia"/>
          <w:color w:val="000000" w:themeColor="text1"/>
          <w:sz w:val="24"/>
          <w14:textFill>
            <w14:solidFill>
              <w14:schemeClr w14:val="tx1"/>
            </w14:solidFill>
          </w14:textFill>
        </w:rPr>
        <w:t>或者</w:t>
      </w:r>
      <w:r>
        <w:rPr>
          <w:rFonts w:asciiTheme="majorEastAsia" w:hAnsiTheme="majorEastAsia" w:eastAsiaTheme="majorEastAsia"/>
          <w:color w:val="000000" w:themeColor="text1"/>
          <w:sz w:val="24"/>
          <w14:textFill>
            <w14:solidFill>
              <w14:schemeClr w14:val="tx1"/>
            </w14:solidFill>
          </w14:textFill>
        </w:rPr>
        <w:t>安装的地点。</w:t>
      </w:r>
      <w:bookmarkEnd w:id="115"/>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16" w:name="_Toc487900350"/>
      <w:bookmarkStart w:id="117" w:name="_Toc259093670"/>
      <w:bookmarkStart w:id="118" w:name="_Toc279701241"/>
      <w:bookmarkStart w:id="119" w:name="_Toc13336"/>
      <w:bookmarkStart w:id="120" w:name="_Toc27635"/>
      <w:bookmarkStart w:id="121" w:name="_Toc32504"/>
      <w:r>
        <w:rPr>
          <w:rFonts w:hint="eastAsia" w:asciiTheme="majorEastAsia" w:hAnsiTheme="majorEastAsia" w:eastAsiaTheme="majorEastAsia"/>
          <w:b/>
          <w:bCs/>
          <w:color w:val="000000" w:themeColor="text1"/>
          <w:sz w:val="24"/>
          <w:lang w:val="zh-CN"/>
          <w14:textFill>
            <w14:solidFill>
              <w14:schemeClr w14:val="tx1"/>
            </w14:solidFill>
          </w14:textFill>
        </w:rPr>
        <w:t>2.</w:t>
      </w:r>
      <w:r>
        <w:rPr>
          <w:rFonts w:asciiTheme="majorEastAsia" w:hAnsiTheme="majorEastAsia" w:eastAsiaTheme="majorEastAsia"/>
          <w:b/>
          <w:bCs/>
          <w:color w:val="000000" w:themeColor="text1"/>
          <w:sz w:val="24"/>
          <w:lang w:val="zh-CN"/>
          <w14:textFill>
            <w14:solidFill>
              <w14:schemeClr w14:val="tx1"/>
            </w14:solidFill>
          </w14:textFill>
        </w:rPr>
        <w:t>2 技术规范</w:t>
      </w:r>
      <w:bookmarkEnd w:id="116"/>
      <w:bookmarkEnd w:id="117"/>
      <w:bookmarkEnd w:id="118"/>
      <w:bookmarkEnd w:id="119"/>
      <w:bookmarkEnd w:id="120"/>
      <w:bookmarkEnd w:id="12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如果采购文件中没有技术规范的相应说明，那么应以国家有关部门最新颁布的相应标准</w:t>
      </w:r>
      <w:r>
        <w:rPr>
          <w:rFonts w:hint="eastAsia" w:asciiTheme="majorEastAsia" w:hAnsiTheme="majorEastAsia" w:eastAsiaTheme="majorEastAsia"/>
          <w:color w:val="000000" w:themeColor="text1"/>
          <w:sz w:val="24"/>
          <w14:textFill>
            <w14:solidFill>
              <w14:schemeClr w14:val="tx1"/>
            </w14:solidFill>
          </w14:textFill>
        </w:rPr>
        <w:t>和</w:t>
      </w:r>
      <w:r>
        <w:rPr>
          <w:rFonts w:asciiTheme="majorEastAsia" w:hAnsiTheme="majorEastAsia" w:eastAsiaTheme="majorEastAsia"/>
          <w:color w:val="000000" w:themeColor="text1"/>
          <w:sz w:val="24"/>
          <w14:textFill>
            <w14:solidFill>
              <w14:schemeClr w14:val="tx1"/>
            </w14:solidFill>
          </w14:textFill>
        </w:rPr>
        <w:t>规范为准。</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22" w:name="_Toc487900351"/>
      <w:bookmarkStart w:id="123" w:name="_Toc31634"/>
      <w:bookmarkStart w:id="124" w:name="_Toc259093671"/>
      <w:bookmarkStart w:id="125" w:name="_Toc27853"/>
      <w:bookmarkStart w:id="126" w:name="_Toc279701242"/>
      <w:bookmarkStart w:id="127" w:name="_Toc9829"/>
      <w:r>
        <w:rPr>
          <w:rFonts w:hint="eastAsia" w:asciiTheme="majorEastAsia" w:hAnsiTheme="majorEastAsia" w:eastAsiaTheme="majorEastAsia"/>
          <w:b/>
          <w:bCs/>
          <w:color w:val="000000" w:themeColor="text1"/>
          <w:sz w:val="24"/>
          <w:lang w:val="zh-CN"/>
          <w14:textFill>
            <w14:solidFill>
              <w14:schemeClr w14:val="tx1"/>
            </w14:solidFill>
          </w14:textFill>
        </w:rPr>
        <w:t>2.</w:t>
      </w:r>
      <w:r>
        <w:rPr>
          <w:rFonts w:asciiTheme="majorEastAsia" w:hAnsiTheme="majorEastAsia" w:eastAsiaTheme="majorEastAsia"/>
          <w:b/>
          <w:bCs/>
          <w:color w:val="000000" w:themeColor="text1"/>
          <w:sz w:val="24"/>
          <w:lang w:val="zh-CN"/>
          <w14:textFill>
            <w14:solidFill>
              <w14:schemeClr w14:val="tx1"/>
            </w14:solidFill>
          </w14:textFill>
        </w:rPr>
        <w:t>3 知识产权</w:t>
      </w:r>
      <w:bookmarkEnd w:id="122"/>
      <w:bookmarkEnd w:id="123"/>
      <w:bookmarkEnd w:id="124"/>
      <w:bookmarkEnd w:id="125"/>
      <w:bookmarkEnd w:id="126"/>
      <w:bookmarkEnd w:id="127"/>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2.3.1乙</w:t>
      </w:r>
      <w:r>
        <w:rPr>
          <w:rFonts w:asciiTheme="majorEastAsia" w:hAnsiTheme="majorEastAsia" w:eastAsiaTheme="majorEastAsia"/>
          <w:color w:val="000000" w:themeColor="text1"/>
          <w:sz w:val="24"/>
          <w14:textFill>
            <w14:solidFill>
              <w14:schemeClr w14:val="tx1"/>
            </w14:solidFill>
          </w14:textFill>
        </w:rPr>
        <w:t>方应保证甲方在使用该货物或其任何一部分时不受任何第三方提出的侵犯其著作权、商标权、专利权等知识产权方面的起诉</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如果任何第三方提出侵权</w:t>
      </w:r>
      <w:r>
        <w:rPr>
          <w:rFonts w:hint="eastAsia" w:asciiTheme="majorEastAsia" w:hAnsiTheme="majorEastAsia" w:eastAsiaTheme="majorEastAsia"/>
          <w:color w:val="000000" w:themeColor="text1"/>
          <w:sz w:val="24"/>
          <w14:textFill>
            <w14:solidFill>
              <w14:schemeClr w14:val="tx1"/>
            </w14:solidFill>
          </w14:textFill>
        </w:rPr>
        <w:t>指控</w:t>
      </w:r>
      <w:r>
        <w:rPr>
          <w:rFonts w:asciiTheme="majorEastAsia" w:hAnsiTheme="majorEastAsia" w:eastAsiaTheme="majorEastAsia"/>
          <w:color w:val="000000" w:themeColor="text1"/>
          <w:sz w:val="24"/>
          <w14:textFill>
            <w14:solidFill>
              <w14:schemeClr w14:val="tx1"/>
            </w14:solidFill>
          </w14:textFill>
        </w:rPr>
        <w:t>，那么乙方须与该第三方交涉并承担由此发生的一切责任、费用和赔偿</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2.3.2具有知识产权的计算机软件等货物的知识产权归属，</w:t>
      </w:r>
      <w:r>
        <w:rPr>
          <w:rFonts w:asciiTheme="majorEastAsia" w:hAnsiTheme="majorEastAsia" w:eastAsiaTheme="majorEastAsia"/>
          <w:color w:val="000000" w:themeColor="text1"/>
          <w:sz w:val="24"/>
          <w14:textFill>
            <w14:solidFill>
              <w14:schemeClr w14:val="tx1"/>
            </w14:solidFill>
          </w14:textFill>
        </w:rPr>
        <w:t>详见</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color w:val="000000" w:themeColor="text1"/>
          <w:sz w:val="24"/>
          <w14:textFill>
            <w14:solidFill>
              <w14:schemeClr w14:val="tx1"/>
            </w14:solidFill>
          </w14:textFill>
        </w:rPr>
      </w:pPr>
      <w:bookmarkStart w:id="128" w:name="_Toc29149"/>
      <w:bookmarkStart w:id="129" w:name="_Toc4194"/>
      <w:bookmarkStart w:id="130" w:name="_Toc11932"/>
      <w:r>
        <w:rPr>
          <w:rFonts w:hint="eastAsia" w:asciiTheme="majorEastAsia" w:hAnsiTheme="majorEastAsia" w:eastAsiaTheme="majorEastAsia"/>
          <w:b/>
          <w:bCs/>
          <w:color w:val="000000" w:themeColor="text1"/>
          <w:sz w:val="24"/>
          <w:lang w:val="zh-CN"/>
          <w14:textFill>
            <w14:solidFill>
              <w14:schemeClr w14:val="tx1"/>
            </w14:solidFill>
          </w14:textFill>
        </w:rPr>
        <w:t>2.4</w:t>
      </w:r>
      <w:r>
        <w:rPr>
          <w:rFonts w:asciiTheme="majorEastAsia" w:hAnsiTheme="majorEastAsia" w:eastAsiaTheme="majorEastAsia"/>
          <w:b/>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包装和装运</w:t>
      </w:r>
      <w:bookmarkEnd w:id="128"/>
      <w:bookmarkEnd w:id="129"/>
      <w:bookmarkEnd w:id="130"/>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2.4.1除</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hint="eastAsia" w:asciiTheme="majorEastAsia" w:hAnsiTheme="majorEastAsia" w:eastAsiaTheme="majorEastAsia"/>
          <w:color w:val="000000" w:themeColor="text1"/>
          <w:sz w:val="24"/>
          <w14:textFill>
            <w14:solidFill>
              <w14:schemeClr w14:val="tx1"/>
            </w14:solidFill>
          </w14:textFill>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2.4.2装运货物的要求和通知，详见</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31" w:name="_Ref467378541"/>
      <w:bookmarkStart w:id="132" w:name="_Toc259093674"/>
      <w:bookmarkStart w:id="133" w:name="_Ref467379542"/>
      <w:bookmarkStart w:id="134" w:name="_Toc279701245"/>
      <w:bookmarkStart w:id="135" w:name="_Toc487900354"/>
      <w:bookmarkStart w:id="136" w:name="_Ref467378591"/>
      <w:bookmarkStart w:id="137" w:name="_Ref467379536"/>
      <w:bookmarkStart w:id="138" w:name="_Ref467379527"/>
      <w:bookmarkStart w:id="139" w:name="_Toc30272"/>
      <w:bookmarkStart w:id="140" w:name="_Toc19074"/>
      <w:bookmarkStart w:id="141" w:name="_Toc26182"/>
      <w:r>
        <w:rPr>
          <w:rFonts w:hint="eastAsia" w:asciiTheme="majorEastAsia" w:hAnsiTheme="majorEastAsia" w:eastAsiaTheme="majorEastAsia"/>
          <w:b/>
          <w:bCs/>
          <w:color w:val="000000" w:themeColor="text1"/>
          <w:sz w:val="24"/>
          <w:lang w:val="zh-CN"/>
          <w14:textFill>
            <w14:solidFill>
              <w14:schemeClr w14:val="tx1"/>
            </w14:solidFill>
          </w14:textFill>
        </w:rPr>
        <w:t>2.</w:t>
      </w:r>
      <w:bookmarkEnd w:id="131"/>
      <w:bookmarkEnd w:id="132"/>
      <w:bookmarkEnd w:id="133"/>
      <w:bookmarkEnd w:id="134"/>
      <w:bookmarkEnd w:id="135"/>
      <w:bookmarkEnd w:id="136"/>
      <w:bookmarkEnd w:id="137"/>
      <w:bookmarkEnd w:id="138"/>
      <w:r>
        <w:rPr>
          <w:rFonts w:hint="eastAsia" w:asciiTheme="majorEastAsia" w:hAnsiTheme="majorEastAsia" w:eastAsiaTheme="majorEastAsia"/>
          <w:b/>
          <w:bCs/>
          <w:color w:val="000000" w:themeColor="text1"/>
          <w:sz w:val="24"/>
          <w:lang w:val="zh-CN"/>
          <w14:textFill>
            <w14:solidFill>
              <w14:schemeClr w14:val="tx1"/>
            </w14:solidFill>
          </w14:textFill>
        </w:rPr>
        <w:t>5</w:t>
      </w:r>
      <w:r>
        <w:rPr>
          <w:rFonts w:asciiTheme="majorEastAsia" w:hAnsiTheme="majorEastAsia" w:eastAsiaTheme="majorEastAsia"/>
          <w:b/>
          <w:bCs/>
          <w:color w:val="000000" w:themeColor="text1"/>
          <w:sz w:val="24"/>
          <w:lang w:val="zh-CN"/>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履约检查和问题反馈</w:t>
      </w:r>
      <w:bookmarkEnd w:id="139"/>
      <w:bookmarkEnd w:id="140"/>
      <w:bookmarkEnd w:id="14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bookmarkStart w:id="142" w:name="_Ref467379657"/>
      <w:r>
        <w:rPr>
          <w:rFonts w:hint="eastAsia" w:asciiTheme="majorEastAsia" w:hAnsiTheme="majorEastAsia" w:eastAsiaTheme="majorEastAsia"/>
          <w:color w:val="000000" w:themeColor="text1"/>
          <w:sz w:val="24"/>
          <w14:textFill>
            <w14:solidFill>
              <w14:schemeClr w14:val="tx1"/>
            </w14:solidFill>
          </w14:textFill>
        </w:rPr>
        <w:t>2.5</w:t>
      </w:r>
      <w:r>
        <w:rPr>
          <w:rFonts w:asciiTheme="majorEastAsia" w:hAnsiTheme="majorEastAsia" w:eastAsiaTheme="majorEastAsia"/>
          <w:color w:val="000000" w:themeColor="text1"/>
          <w:sz w:val="24"/>
          <w14:textFill>
            <w14:solidFill>
              <w14:schemeClr w14:val="tx1"/>
            </w14:solidFill>
          </w14:textFill>
        </w:rPr>
        <w:t>.1</w:t>
      </w:r>
      <w:bookmarkEnd w:id="142"/>
      <w:bookmarkStart w:id="143" w:name="_Toc186431854"/>
      <w:bookmarkStart w:id="144" w:name="_Toc279701247"/>
      <w:bookmarkStart w:id="145" w:name="_Ref467379793"/>
      <w:bookmarkStart w:id="146" w:name="_Ref467379807"/>
      <w:bookmarkStart w:id="147" w:name="_Toc259093676"/>
      <w:bookmarkStart w:id="148" w:name="_Toc487900357"/>
      <w:r>
        <w:rPr>
          <w:rFonts w:asciiTheme="majorEastAsia" w:hAnsiTheme="majorEastAsia" w:eastAsiaTheme="majorEastAsia"/>
          <w:color w:val="000000" w:themeColor="text1"/>
          <w:sz w:val="24"/>
          <w14:textFill>
            <w14:solidFill>
              <w14:schemeClr w14:val="tx1"/>
            </w14:solidFill>
          </w14:textFill>
        </w:rPr>
        <w:t>甲方</w:t>
      </w:r>
      <w:r>
        <w:rPr>
          <w:rFonts w:hint="eastAsia" w:asciiTheme="majorEastAsia" w:hAnsiTheme="majorEastAsia" w:eastAsiaTheme="majorEastAsia"/>
          <w:color w:val="000000" w:themeColor="text1"/>
          <w:sz w:val="24"/>
          <w14:textFill>
            <w14:solidFill>
              <w14:schemeClr w14:val="tx1"/>
            </w14:solidFill>
          </w14:textFill>
        </w:rPr>
        <w:t>有权</w:t>
      </w:r>
      <w:r>
        <w:rPr>
          <w:rFonts w:asciiTheme="majorEastAsia" w:hAnsiTheme="majorEastAsia" w:eastAsiaTheme="majorEastAsia"/>
          <w:color w:val="000000" w:themeColor="text1"/>
          <w:sz w:val="24"/>
          <w14:textFill>
            <w14:solidFill>
              <w14:schemeClr w14:val="tx1"/>
            </w14:solidFill>
          </w14:textFill>
        </w:rPr>
        <w:t>在其认为必要时</w:t>
      </w:r>
      <w:r>
        <w:rPr>
          <w:rFonts w:hint="eastAsia" w:asciiTheme="majorEastAsia" w:hAnsiTheme="majorEastAsia" w:eastAsiaTheme="majorEastAsia"/>
          <w:color w:val="000000" w:themeColor="text1"/>
          <w:sz w:val="24"/>
          <w14:textFill>
            <w14:solidFill>
              <w14:schemeClr w14:val="tx1"/>
            </w14:solidFill>
          </w14:textFill>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2.5.2合同履行期间，甲方有权将履行过程中出现的问题反馈给乙方，双方当事人应以书面形式约定需要完善和改进的内容</w:t>
      </w:r>
      <w:bookmarkEnd w:id="143"/>
      <w:bookmarkStart w:id="149" w:name="_Toc186431855"/>
      <w:r>
        <w:rPr>
          <w:rFonts w:hint="eastAsia" w:asciiTheme="majorEastAsia" w:hAnsiTheme="majorEastAsia" w:eastAsiaTheme="majorEastAsia"/>
          <w:color w:val="000000" w:themeColor="text1"/>
          <w:sz w:val="24"/>
          <w14:textFill>
            <w14:solidFill>
              <w14:schemeClr w14:val="tx1"/>
            </w14:solidFill>
          </w14:textFill>
        </w:rPr>
        <w:t>。</w:t>
      </w:r>
    </w:p>
    <w:bookmarkEnd w:id="149"/>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50" w:name="_Toc7836"/>
      <w:bookmarkStart w:id="151" w:name="_Toc28451"/>
      <w:bookmarkStart w:id="152" w:name="_Toc19219"/>
      <w:r>
        <w:rPr>
          <w:rFonts w:hint="eastAsia" w:asciiTheme="majorEastAsia" w:hAnsiTheme="majorEastAsia" w:eastAsiaTheme="majorEastAsia"/>
          <w:b/>
          <w:bCs/>
          <w:color w:val="000000" w:themeColor="text1"/>
          <w:sz w:val="24"/>
          <w:lang w:val="zh-CN"/>
          <w14:textFill>
            <w14:solidFill>
              <w14:schemeClr w14:val="tx1"/>
            </w14:solidFill>
          </w14:textFill>
        </w:rPr>
        <w:t xml:space="preserve">2.6 </w:t>
      </w:r>
      <w:r>
        <w:rPr>
          <w:rFonts w:asciiTheme="majorEastAsia" w:hAnsiTheme="majorEastAsia" w:eastAsiaTheme="majorEastAsia"/>
          <w:b/>
          <w:bCs/>
          <w:color w:val="000000" w:themeColor="text1"/>
          <w:sz w:val="24"/>
          <w:lang w:val="zh-CN"/>
          <w14:textFill>
            <w14:solidFill>
              <w14:schemeClr w14:val="tx1"/>
            </w14:solidFill>
          </w14:textFill>
        </w:rPr>
        <w:t>结算方式和付款条件</w:t>
      </w:r>
      <w:bookmarkEnd w:id="144"/>
      <w:bookmarkEnd w:id="145"/>
      <w:bookmarkEnd w:id="146"/>
      <w:bookmarkEnd w:id="147"/>
      <w:bookmarkEnd w:id="148"/>
      <w:bookmarkEnd w:id="150"/>
      <w:bookmarkEnd w:id="151"/>
      <w:bookmarkEnd w:id="152"/>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详见</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53" w:name="_Toc259093677"/>
      <w:bookmarkStart w:id="154" w:name="_Toc487900358"/>
      <w:bookmarkStart w:id="155" w:name="_Ref467379852"/>
      <w:bookmarkStart w:id="156" w:name="_Toc279701248"/>
      <w:bookmarkStart w:id="157" w:name="_Ref467379863"/>
      <w:bookmarkStart w:id="158" w:name="_Ref467379923"/>
      <w:bookmarkStart w:id="159" w:name="_Toc774"/>
      <w:bookmarkStart w:id="160" w:name="_Toc16110"/>
      <w:bookmarkStart w:id="161" w:name="_Toc3225"/>
      <w:r>
        <w:rPr>
          <w:rFonts w:hint="eastAsia" w:asciiTheme="majorEastAsia" w:hAnsiTheme="majorEastAsia" w:eastAsiaTheme="majorEastAsia"/>
          <w:b/>
          <w:bCs/>
          <w:color w:val="000000" w:themeColor="text1"/>
          <w:sz w:val="24"/>
          <w:lang w:val="zh-CN"/>
          <w14:textFill>
            <w14:solidFill>
              <w14:schemeClr w14:val="tx1"/>
            </w14:solidFill>
          </w14:textFill>
        </w:rPr>
        <w:t xml:space="preserve">2.7 </w:t>
      </w:r>
      <w:r>
        <w:rPr>
          <w:rFonts w:asciiTheme="majorEastAsia" w:hAnsiTheme="majorEastAsia" w:eastAsiaTheme="majorEastAsia"/>
          <w:b/>
          <w:bCs/>
          <w:color w:val="000000" w:themeColor="text1"/>
          <w:sz w:val="24"/>
          <w:lang w:val="zh-CN"/>
          <w14:textFill>
            <w14:solidFill>
              <w14:schemeClr w14:val="tx1"/>
            </w14:solidFill>
          </w14:textFill>
        </w:rPr>
        <w:t>技术资料</w:t>
      </w:r>
      <w:bookmarkEnd w:id="153"/>
      <w:bookmarkEnd w:id="154"/>
      <w:bookmarkEnd w:id="155"/>
      <w:bookmarkEnd w:id="156"/>
      <w:bookmarkEnd w:id="157"/>
      <w:bookmarkEnd w:id="158"/>
      <w:r>
        <w:rPr>
          <w:rFonts w:asciiTheme="majorEastAsia" w:hAnsiTheme="majorEastAsia" w:eastAsiaTheme="majorEastAsia"/>
          <w:b/>
          <w:bCs/>
          <w:color w:val="000000" w:themeColor="text1"/>
          <w:sz w:val="24"/>
          <w:lang w:val="zh-CN"/>
          <w14:textFill>
            <w14:solidFill>
              <w14:schemeClr w14:val="tx1"/>
            </w14:solidFill>
          </w14:textFill>
        </w:rPr>
        <w:t>和保密义务</w:t>
      </w:r>
      <w:bookmarkEnd w:id="159"/>
      <w:bookmarkEnd w:id="160"/>
      <w:bookmarkEnd w:id="16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2.7</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2.7.2乙方有义务妥善保管和保护由甲方提供的前款信息和资料等；</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2.7</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ajorEastAsia" w:hAnsiTheme="majorEastAsia" w:eastAsiaTheme="majorEastAsia"/>
          <w:color w:val="000000" w:themeColor="text1"/>
          <w:sz w:val="24"/>
          <w14:textFill>
            <w14:solidFill>
              <w14:schemeClr w14:val="tx1"/>
            </w14:solidFill>
          </w14:textFill>
        </w:rPr>
        <w:t>技术情报</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技术资料</w:t>
      </w:r>
      <w:r>
        <w:rPr>
          <w:rFonts w:hint="eastAsia" w:asciiTheme="majorEastAsia" w:hAnsiTheme="majorEastAsia" w:eastAsiaTheme="majorEastAsia"/>
          <w:color w:val="000000" w:themeColor="text1"/>
          <w:sz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62" w:name="_Toc7860"/>
      <w:r>
        <w:rPr>
          <w:rFonts w:asciiTheme="majorEastAsia" w:hAnsiTheme="majorEastAsia" w:eastAsiaTheme="majorEastAsia"/>
          <w:b/>
          <w:bCs/>
          <w:color w:val="000000" w:themeColor="text1"/>
          <w:sz w:val="24"/>
          <w:lang w:val="zh-CN"/>
          <w14:textFill>
            <w14:solidFill>
              <w14:schemeClr w14:val="tx1"/>
            </w14:solidFill>
          </w14:textFill>
        </w:rPr>
        <w:t>2.8 质量保证</w:t>
      </w:r>
      <w:bookmarkEnd w:id="162"/>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2.8.1乙方应建立和完善履行合同的内部质量保证体系，并提供相关内部规章制度给甲方，以便甲方进行监督检查；</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63" w:name="_Toc17244"/>
      <w:bookmarkStart w:id="164" w:name="_Toc259093681"/>
      <w:bookmarkStart w:id="165" w:name="_Toc279701252"/>
      <w:bookmarkStart w:id="166" w:name="_Toc487900362"/>
      <w:r>
        <w:rPr>
          <w:rFonts w:asciiTheme="majorEastAsia" w:hAnsiTheme="majorEastAsia" w:eastAsiaTheme="majorEastAsia"/>
          <w:b/>
          <w:bCs/>
          <w:color w:val="000000" w:themeColor="text1"/>
          <w:sz w:val="24"/>
          <w:lang w:val="zh-CN"/>
          <w14:textFill>
            <w14:solidFill>
              <w14:schemeClr w14:val="tx1"/>
            </w14:solidFill>
          </w14:textFill>
        </w:rPr>
        <w:t>2.9 货物的风险负担</w:t>
      </w:r>
      <w:bookmarkEnd w:id="163"/>
    </w:p>
    <w:p>
      <w:pPr>
        <w:spacing w:line="360" w:lineRule="auto"/>
        <w:ind w:firstLine="435"/>
        <w:rPr>
          <w:rFonts w:asciiTheme="majorEastAsia" w:hAnsiTheme="majorEastAsia" w:eastAsiaTheme="majorEastAsia"/>
          <w:b/>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货物或者在途货物或者交付给第一承运人后的货物毁损、灭失的风险负担</w:t>
      </w:r>
      <w:r>
        <w:rPr>
          <w:rFonts w:asciiTheme="majorEastAsia" w:hAnsiTheme="majorEastAsia" w:eastAsiaTheme="majorEastAsia"/>
          <w:color w:val="000000" w:themeColor="text1"/>
          <w:sz w:val="24"/>
          <w14:textFill>
            <w14:solidFill>
              <w14:schemeClr w14:val="tx1"/>
            </w14:solidFill>
          </w14:textFill>
        </w:rPr>
        <w:t>详见</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67" w:name="_Toc14055"/>
      <w:r>
        <w:rPr>
          <w:rFonts w:asciiTheme="majorEastAsia" w:hAnsiTheme="majorEastAsia" w:eastAsiaTheme="majorEastAsia"/>
          <w:b/>
          <w:bCs/>
          <w:color w:val="000000" w:themeColor="text1"/>
          <w:sz w:val="24"/>
          <w:lang w:val="zh-CN"/>
          <w14:textFill>
            <w14:solidFill>
              <w14:schemeClr w14:val="tx1"/>
            </w14:solidFill>
          </w14:textFill>
        </w:rPr>
        <w:t>2.10 延迟交货</w:t>
      </w:r>
      <w:bookmarkEnd w:id="164"/>
      <w:bookmarkEnd w:id="165"/>
      <w:bookmarkEnd w:id="166"/>
      <w:bookmarkEnd w:id="167"/>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在合同履行过程中，如果乙方遇到不能按时交付货物的情况，应及时以书面形式将不能按时</w:t>
      </w:r>
      <w:r>
        <w:rPr>
          <w:rFonts w:hint="eastAsia" w:asciiTheme="majorEastAsia" w:hAnsiTheme="majorEastAsia" w:eastAsiaTheme="majorEastAsia"/>
          <w:color w:val="000000" w:themeColor="text1"/>
          <w:sz w:val="24"/>
          <w14:textFill>
            <w14:solidFill>
              <w14:schemeClr w14:val="tx1"/>
            </w14:solidFill>
          </w14:textFill>
        </w:rPr>
        <w:t>交付货物</w:t>
      </w:r>
      <w:r>
        <w:rPr>
          <w:rFonts w:asciiTheme="majorEastAsia" w:hAnsiTheme="majorEastAsia" w:eastAsiaTheme="majorEastAsia"/>
          <w:color w:val="000000" w:themeColor="text1"/>
          <w:sz w:val="24"/>
          <w14:textFill>
            <w14:solidFill>
              <w14:schemeClr w14:val="tx1"/>
            </w14:solidFill>
          </w14:textFill>
        </w:rPr>
        <w:t>的理由、预期延误时间通知甲方</w:t>
      </w:r>
      <w:r>
        <w:rPr>
          <w:rFonts w:hint="eastAsia" w:asciiTheme="majorEastAsia" w:hAnsiTheme="majorEastAsia" w:eastAsiaTheme="majorEastAsia"/>
          <w:color w:val="000000" w:themeColor="text1"/>
          <w:sz w:val="24"/>
          <w14:textFill>
            <w14:solidFill>
              <w14:schemeClr w14:val="tx1"/>
            </w14:solidFill>
          </w14:textFill>
        </w:rPr>
        <w:t>；甲</w:t>
      </w:r>
      <w:r>
        <w:rPr>
          <w:rFonts w:asciiTheme="majorEastAsia" w:hAnsiTheme="majorEastAsia" w:eastAsiaTheme="majorEastAsia"/>
          <w:color w:val="000000" w:themeColor="text1"/>
          <w:sz w:val="24"/>
          <w14:textFill>
            <w14:solidFill>
              <w14:schemeClr w14:val="tx1"/>
            </w14:solidFill>
          </w14:textFill>
        </w:rPr>
        <w:t>方收到乙方通知后，认为其理由正当的，可以书面形式酌情同意乙方可以延长交货的具体时间。</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68" w:name="_Toc7502"/>
      <w:bookmarkStart w:id="169" w:name="_Toc487900364"/>
      <w:bookmarkStart w:id="170" w:name="_Toc259093683"/>
      <w:bookmarkStart w:id="171" w:name="_Toc279701254"/>
      <w:bookmarkStart w:id="172" w:name="_Ref467378121"/>
      <w:r>
        <w:rPr>
          <w:rFonts w:asciiTheme="majorEastAsia" w:hAnsiTheme="majorEastAsia" w:eastAsiaTheme="majorEastAsia"/>
          <w:b/>
          <w:bCs/>
          <w:color w:val="000000" w:themeColor="text1"/>
          <w:sz w:val="24"/>
          <w:lang w:val="zh-CN"/>
          <w14:textFill>
            <w14:solidFill>
              <w14:schemeClr w14:val="tx1"/>
            </w14:solidFill>
          </w14:textFill>
        </w:rPr>
        <w:t>2.11 合同变更</w:t>
      </w:r>
      <w:bookmarkEnd w:id="168"/>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2.11.1双方当事人协商一致，可以签订书面补充合同的形式变更合同，但不得违背采购文件确定的事项；</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2.11.2合同继续履行将损害国家利益和社会公共利益的，双方当事人应当以书面形式变更合同。有过错的一方应当承担赔偿责任，双方当事人都有过错的，各自承担相应的责任。</w:t>
      </w:r>
      <w:bookmarkStart w:id="173" w:name="_Toc279701259"/>
      <w:bookmarkStart w:id="174" w:name="_Toc487900369"/>
      <w:bookmarkStart w:id="175" w:name="_Toc259093688"/>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76" w:name="_Toc10366"/>
      <w:bookmarkStart w:id="177" w:name="_Toc15237"/>
      <w:bookmarkStart w:id="178" w:name="_Toc22955"/>
      <w:r>
        <w:rPr>
          <w:rFonts w:hint="eastAsia" w:asciiTheme="majorEastAsia" w:hAnsiTheme="majorEastAsia" w:eastAsiaTheme="majorEastAsia"/>
          <w:b/>
          <w:bCs/>
          <w:color w:val="000000" w:themeColor="text1"/>
          <w:sz w:val="24"/>
          <w:lang w:val="zh-CN"/>
          <w14:textFill>
            <w14:solidFill>
              <w14:schemeClr w14:val="tx1"/>
            </w14:solidFill>
          </w14:textFill>
        </w:rPr>
        <w:t xml:space="preserve">2.12 </w:t>
      </w:r>
      <w:r>
        <w:rPr>
          <w:rFonts w:asciiTheme="majorEastAsia" w:hAnsiTheme="majorEastAsia" w:eastAsiaTheme="majorEastAsia"/>
          <w:b/>
          <w:bCs/>
          <w:color w:val="000000" w:themeColor="text1"/>
          <w:sz w:val="24"/>
          <w:lang w:val="zh-CN"/>
          <w14:textFill>
            <w14:solidFill>
              <w14:schemeClr w14:val="tx1"/>
            </w14:solidFill>
          </w14:textFill>
        </w:rPr>
        <w:t>合同转让</w:t>
      </w:r>
      <w:bookmarkEnd w:id="173"/>
      <w:bookmarkEnd w:id="174"/>
      <w:bookmarkEnd w:id="175"/>
      <w:r>
        <w:rPr>
          <w:rFonts w:asciiTheme="majorEastAsia" w:hAnsiTheme="majorEastAsia" w:eastAsiaTheme="majorEastAsia"/>
          <w:b/>
          <w:bCs/>
          <w:color w:val="000000" w:themeColor="text1"/>
          <w:sz w:val="24"/>
          <w:lang w:val="zh-CN"/>
          <w14:textFill>
            <w14:solidFill>
              <w14:schemeClr w14:val="tx1"/>
            </w14:solidFill>
          </w14:textFill>
        </w:rPr>
        <w:t>和分包</w:t>
      </w:r>
      <w:bookmarkEnd w:id="176"/>
      <w:bookmarkEnd w:id="177"/>
      <w:bookmarkEnd w:id="178"/>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合同的权利义务依法不</w:t>
      </w:r>
      <w:r>
        <w:rPr>
          <w:rFonts w:hint="eastAsia" w:asciiTheme="majorEastAsia" w:hAnsiTheme="majorEastAsia" w:eastAsiaTheme="majorEastAsia"/>
          <w:color w:val="000000" w:themeColor="text1"/>
          <w:sz w:val="24"/>
          <w14:textFill>
            <w14:solidFill>
              <w14:schemeClr w14:val="tx1"/>
            </w14:solidFill>
          </w14:textFill>
        </w:rPr>
        <w:t>得</w:t>
      </w:r>
      <w:r>
        <w:rPr>
          <w:rFonts w:asciiTheme="majorEastAsia" w:hAnsiTheme="majorEastAsia" w:eastAsiaTheme="majorEastAsia"/>
          <w:color w:val="000000" w:themeColor="text1"/>
          <w:sz w:val="24"/>
          <w14:textFill>
            <w14:solidFill>
              <w14:schemeClr w14:val="tx1"/>
            </w14:solidFill>
          </w14:textFill>
        </w:rPr>
        <w:t>转让</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但经甲方</w:t>
      </w:r>
      <w:r>
        <w:rPr>
          <w:rFonts w:hint="eastAsia" w:asciiTheme="majorEastAsia" w:hAnsiTheme="majorEastAsia" w:eastAsiaTheme="majorEastAsia"/>
          <w:color w:val="000000" w:themeColor="text1"/>
          <w:sz w:val="24"/>
          <w14:textFill>
            <w14:solidFill>
              <w14:schemeClr w14:val="tx1"/>
            </w14:solidFill>
          </w14:textFill>
        </w:rPr>
        <w:t>同意，乙方可以依法采取分包方式履行合同，即：依法可以</w:t>
      </w:r>
      <w:r>
        <w:rPr>
          <w:rFonts w:asciiTheme="majorEastAsia" w:hAnsiTheme="majorEastAsia" w:eastAsiaTheme="majorEastAsia"/>
          <w:color w:val="000000" w:themeColor="text1"/>
          <w:sz w:val="24"/>
          <w14:textFill>
            <w14:solidFill>
              <w14:schemeClr w14:val="tx1"/>
            </w14:solidFill>
          </w14:textFill>
        </w:rPr>
        <w:t>将合同项下的部分非主体、非关键性工作分包给他人完成</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接受分包的人应当具备相应的资格条件，并不得再次分包</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且乙方应就分包项目向甲方负责</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并</w:t>
      </w:r>
      <w:r>
        <w:rPr>
          <w:rFonts w:hint="eastAsia" w:asciiTheme="majorEastAsia" w:hAnsiTheme="majorEastAsia" w:eastAsiaTheme="majorEastAsia"/>
          <w:color w:val="000000" w:themeColor="text1"/>
          <w:sz w:val="24"/>
          <w14:textFill>
            <w14:solidFill>
              <w14:schemeClr w14:val="tx1"/>
            </w14:solidFill>
          </w14:textFill>
        </w:rPr>
        <w:t>与分包供应商就分包项目向甲方承担连带责任。</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79" w:name="_Toc13566"/>
      <w:bookmarkStart w:id="180" w:name="_Toc16508"/>
      <w:bookmarkStart w:id="181" w:name="_Toc14066"/>
      <w:r>
        <w:rPr>
          <w:rFonts w:hint="eastAsia" w:asciiTheme="majorEastAsia" w:hAnsiTheme="majorEastAsia" w:eastAsiaTheme="majorEastAsia"/>
          <w:b/>
          <w:bCs/>
          <w:color w:val="000000" w:themeColor="text1"/>
          <w:sz w:val="24"/>
          <w:lang w:val="zh-CN"/>
          <w14:textFill>
            <w14:solidFill>
              <w14:schemeClr w14:val="tx1"/>
            </w14:solidFill>
          </w14:textFill>
        </w:rPr>
        <w:t>2.13</w:t>
      </w:r>
      <w:r>
        <w:rPr>
          <w:rFonts w:asciiTheme="majorEastAsia" w:hAnsiTheme="majorEastAsia" w:eastAsiaTheme="majorEastAsia"/>
          <w:b/>
          <w:bCs/>
          <w:color w:val="000000" w:themeColor="text1"/>
          <w:sz w:val="24"/>
          <w:lang w:val="zh-CN"/>
          <w14:textFill>
            <w14:solidFill>
              <w14:schemeClr w14:val="tx1"/>
            </w14:solidFill>
          </w14:textFill>
        </w:rPr>
        <w:t xml:space="preserve"> 不可抗力</w:t>
      </w:r>
      <w:bookmarkEnd w:id="179"/>
      <w:bookmarkEnd w:id="180"/>
      <w:bookmarkEnd w:id="18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2.13</w:t>
      </w:r>
      <w:r>
        <w:rPr>
          <w:rFonts w:asciiTheme="majorEastAsia" w:hAnsiTheme="majorEastAsia" w:eastAsiaTheme="majorEastAsia"/>
          <w:color w:val="000000" w:themeColor="text1"/>
          <w:sz w:val="24"/>
          <w14:textFill>
            <w14:solidFill>
              <w14:schemeClr w14:val="tx1"/>
            </w14:solidFill>
          </w14:textFill>
        </w:rPr>
        <w:t>.1如果任何一方遭遇法律规定的不可抗力，致使合同履行受阻时，履行合同的期限应予延长，延长的期限应相当于不可抗力所影响的时间</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2.13.2因不可抗力致使不能实现合同目的的，当事人可以解除合同；</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2.13.3因</w:t>
      </w:r>
      <w:r>
        <w:rPr>
          <w:rFonts w:asciiTheme="majorEastAsia" w:hAnsiTheme="majorEastAsia" w:eastAsiaTheme="majorEastAsia"/>
          <w:color w:val="000000" w:themeColor="text1"/>
          <w:sz w:val="24"/>
          <w14:textFill>
            <w14:solidFill>
              <w14:schemeClr w14:val="tx1"/>
            </w14:solidFill>
          </w14:textFill>
        </w:rPr>
        <w:t>不可抗力致使合同有变更必要的，双方当事人应在</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约定时间内以书面形式变更合同</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2.13</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4</w:t>
      </w:r>
      <w:r>
        <w:rPr>
          <w:rFonts w:asciiTheme="majorEastAsia" w:hAnsiTheme="majorEastAsia" w:eastAsiaTheme="majorEastAsia"/>
          <w:color w:val="000000" w:themeColor="text1"/>
          <w:sz w:val="24"/>
          <w14:textFill>
            <w14:solidFill>
              <w14:schemeClr w14:val="tx1"/>
            </w14:solidFill>
          </w14:textFill>
        </w:rPr>
        <w:t>受</w:t>
      </w:r>
      <w:r>
        <w:rPr>
          <w:rFonts w:hint="eastAsia" w:asciiTheme="majorEastAsia" w:hAnsiTheme="majorEastAsia" w:eastAsiaTheme="majorEastAsia"/>
          <w:color w:val="000000" w:themeColor="text1"/>
          <w:sz w:val="24"/>
          <w14:textFill>
            <w14:solidFill>
              <w14:schemeClr w14:val="tx1"/>
            </w14:solidFill>
          </w14:textFill>
        </w:rPr>
        <w:t>不可抗力</w:t>
      </w:r>
      <w:r>
        <w:rPr>
          <w:rFonts w:asciiTheme="majorEastAsia" w:hAnsiTheme="majorEastAsia" w:eastAsiaTheme="majorEastAsia"/>
          <w:color w:val="000000" w:themeColor="text1"/>
          <w:sz w:val="24"/>
          <w14:textFill>
            <w14:solidFill>
              <w14:schemeClr w14:val="tx1"/>
            </w14:solidFill>
          </w14:textFill>
        </w:rPr>
        <w:t>影响的一方在不可抗力发生后</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应在</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约定时间内以书面形式通知</w:t>
      </w:r>
      <w:r>
        <w:rPr>
          <w:rFonts w:hint="eastAsia" w:asciiTheme="majorEastAsia" w:hAnsiTheme="majorEastAsia" w:eastAsiaTheme="majorEastAsia"/>
          <w:color w:val="000000" w:themeColor="text1"/>
          <w:sz w:val="24"/>
          <w14:textFill>
            <w14:solidFill>
              <w14:schemeClr w14:val="tx1"/>
            </w14:solidFill>
          </w14:textFill>
        </w:rPr>
        <w:t>对</w:t>
      </w:r>
      <w:r>
        <w:rPr>
          <w:rFonts w:asciiTheme="majorEastAsia" w:hAnsiTheme="majorEastAsia" w:eastAsiaTheme="majorEastAsia"/>
          <w:color w:val="000000" w:themeColor="text1"/>
          <w:sz w:val="24"/>
          <w14:textFill>
            <w14:solidFill>
              <w14:schemeClr w14:val="tx1"/>
            </w14:solidFill>
          </w14:textFill>
        </w:rPr>
        <w:t>方当事人，并在</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约定时间内，将有关部门出具的证明文件送达</w:t>
      </w:r>
      <w:r>
        <w:rPr>
          <w:rFonts w:hint="eastAsia" w:asciiTheme="majorEastAsia" w:hAnsiTheme="majorEastAsia" w:eastAsiaTheme="majorEastAsia"/>
          <w:color w:val="000000" w:themeColor="text1"/>
          <w:sz w:val="24"/>
          <w14:textFill>
            <w14:solidFill>
              <w14:schemeClr w14:val="tx1"/>
            </w14:solidFill>
          </w14:textFill>
        </w:rPr>
        <w:t>对方当事人</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82" w:name="_Toc259093684"/>
      <w:bookmarkStart w:id="183" w:name="_Toc487900365"/>
      <w:bookmarkStart w:id="184" w:name="_Toc30676"/>
      <w:bookmarkStart w:id="185" w:name="_Toc6969"/>
      <w:bookmarkStart w:id="186" w:name="_Toc279701255"/>
      <w:bookmarkStart w:id="187" w:name="_Toc689"/>
      <w:r>
        <w:rPr>
          <w:rFonts w:hint="eastAsia" w:asciiTheme="majorEastAsia" w:hAnsiTheme="majorEastAsia" w:eastAsiaTheme="majorEastAsia"/>
          <w:b/>
          <w:bCs/>
          <w:color w:val="000000" w:themeColor="text1"/>
          <w:sz w:val="24"/>
          <w:lang w:val="zh-CN"/>
          <w14:textFill>
            <w14:solidFill>
              <w14:schemeClr w14:val="tx1"/>
            </w14:solidFill>
          </w14:textFill>
        </w:rPr>
        <w:t>2.</w:t>
      </w:r>
      <w:r>
        <w:rPr>
          <w:rFonts w:asciiTheme="majorEastAsia" w:hAnsiTheme="majorEastAsia" w:eastAsiaTheme="majorEastAsia"/>
          <w:b/>
          <w:bCs/>
          <w:color w:val="000000" w:themeColor="text1"/>
          <w:sz w:val="24"/>
          <w:lang w:val="zh-CN"/>
          <w14:textFill>
            <w14:solidFill>
              <w14:schemeClr w14:val="tx1"/>
            </w14:solidFill>
          </w14:textFill>
        </w:rPr>
        <w:t>1</w:t>
      </w:r>
      <w:r>
        <w:rPr>
          <w:rFonts w:hint="eastAsia" w:asciiTheme="majorEastAsia" w:hAnsiTheme="majorEastAsia" w:eastAsiaTheme="majorEastAsia"/>
          <w:b/>
          <w:bCs/>
          <w:color w:val="000000" w:themeColor="text1"/>
          <w:sz w:val="24"/>
          <w:lang w:val="zh-CN"/>
          <w14:textFill>
            <w14:solidFill>
              <w14:schemeClr w14:val="tx1"/>
            </w14:solidFill>
          </w14:textFill>
        </w:rPr>
        <w:t xml:space="preserve">4 </w:t>
      </w:r>
      <w:r>
        <w:rPr>
          <w:rFonts w:asciiTheme="majorEastAsia" w:hAnsiTheme="majorEastAsia" w:eastAsiaTheme="majorEastAsia"/>
          <w:b/>
          <w:bCs/>
          <w:color w:val="000000" w:themeColor="text1"/>
          <w:sz w:val="24"/>
          <w:lang w:val="zh-CN"/>
          <w14:textFill>
            <w14:solidFill>
              <w14:schemeClr w14:val="tx1"/>
            </w14:solidFill>
          </w14:textFill>
        </w:rPr>
        <w:t>税费</w:t>
      </w:r>
      <w:bookmarkEnd w:id="182"/>
      <w:bookmarkEnd w:id="183"/>
      <w:bookmarkEnd w:id="184"/>
      <w:bookmarkEnd w:id="185"/>
      <w:bookmarkEnd w:id="186"/>
      <w:bookmarkEnd w:id="187"/>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与合同有关的一切税费</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均按照中华人民共和国法律的相关规定</w:t>
      </w:r>
      <w:r>
        <w:rPr>
          <w:rFonts w:hint="eastAsia" w:asciiTheme="majorEastAsia" w:hAnsiTheme="majorEastAsia" w:eastAsiaTheme="majorEastAsia"/>
          <w:color w:val="000000" w:themeColor="text1"/>
          <w:sz w:val="24"/>
          <w14:textFill>
            <w14:solidFill>
              <w14:schemeClr w14:val="tx1"/>
            </w14:solidFill>
          </w14:textFill>
        </w:rPr>
        <w:t>缴纳</w:t>
      </w:r>
      <w:r>
        <w:rPr>
          <w:rFonts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88" w:name="_Toc487900368"/>
      <w:bookmarkStart w:id="189" w:name="_Toc259093687"/>
      <w:bookmarkStart w:id="190" w:name="_Toc16959"/>
      <w:bookmarkStart w:id="191" w:name="_Toc8298"/>
      <w:bookmarkStart w:id="192" w:name="_Toc279701258"/>
      <w:bookmarkStart w:id="193" w:name="_Toc7102"/>
      <w:r>
        <w:rPr>
          <w:rFonts w:hint="eastAsia" w:asciiTheme="majorEastAsia" w:hAnsiTheme="majorEastAsia" w:eastAsiaTheme="majorEastAsia"/>
          <w:b/>
          <w:bCs/>
          <w:color w:val="000000" w:themeColor="text1"/>
          <w:sz w:val="24"/>
          <w:lang w:val="zh-CN"/>
          <w14:textFill>
            <w14:solidFill>
              <w14:schemeClr w14:val="tx1"/>
            </w14:solidFill>
          </w14:textFill>
        </w:rPr>
        <w:t>2.</w:t>
      </w:r>
      <w:r>
        <w:rPr>
          <w:rFonts w:asciiTheme="majorEastAsia" w:hAnsiTheme="majorEastAsia" w:eastAsiaTheme="majorEastAsia"/>
          <w:b/>
          <w:bCs/>
          <w:color w:val="000000" w:themeColor="text1"/>
          <w:sz w:val="24"/>
          <w:lang w:val="zh-CN"/>
          <w14:textFill>
            <w14:solidFill>
              <w14:schemeClr w14:val="tx1"/>
            </w14:solidFill>
          </w14:textFill>
        </w:rPr>
        <w:t>1</w:t>
      </w:r>
      <w:r>
        <w:rPr>
          <w:rFonts w:hint="eastAsia" w:asciiTheme="majorEastAsia" w:hAnsiTheme="majorEastAsia" w:eastAsiaTheme="majorEastAsia"/>
          <w:b/>
          <w:bCs/>
          <w:color w:val="000000" w:themeColor="text1"/>
          <w:sz w:val="24"/>
          <w:lang w:val="zh-CN"/>
          <w14:textFill>
            <w14:solidFill>
              <w14:schemeClr w14:val="tx1"/>
            </w14:solidFill>
          </w14:textFill>
        </w:rPr>
        <w:t xml:space="preserve">5 </w:t>
      </w:r>
      <w:r>
        <w:rPr>
          <w:rFonts w:asciiTheme="majorEastAsia" w:hAnsiTheme="majorEastAsia" w:eastAsiaTheme="majorEastAsia"/>
          <w:b/>
          <w:bCs/>
          <w:color w:val="000000" w:themeColor="text1"/>
          <w:sz w:val="24"/>
          <w:lang w:val="zh-CN"/>
          <w14:textFill>
            <w14:solidFill>
              <w14:schemeClr w14:val="tx1"/>
            </w14:solidFill>
          </w14:textFill>
        </w:rPr>
        <w:t>乙方破产</w:t>
      </w:r>
      <w:bookmarkEnd w:id="188"/>
      <w:bookmarkEnd w:id="189"/>
      <w:bookmarkEnd w:id="190"/>
      <w:bookmarkEnd w:id="191"/>
      <w:bookmarkEnd w:id="192"/>
      <w:bookmarkEnd w:id="193"/>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如果乙方破产导致合同无法履行时，甲方可以书面形式通知乙方终止合同且不给予乙方任何补偿和赔偿</w:t>
      </w:r>
      <w:r>
        <w:rPr>
          <w:rFonts w:hint="eastAsia" w:asciiTheme="majorEastAsia" w:hAnsiTheme="majorEastAsia" w:eastAsiaTheme="majorEastAsia"/>
          <w:color w:val="000000" w:themeColor="text1"/>
          <w:sz w:val="24"/>
          <w14:textFill>
            <w14:solidFill>
              <w14:schemeClr w14:val="tx1"/>
            </w14:solidFill>
          </w14:textFill>
        </w:rPr>
        <w:t>，但合同的</w:t>
      </w:r>
      <w:r>
        <w:rPr>
          <w:rFonts w:asciiTheme="majorEastAsia" w:hAnsiTheme="majorEastAsia" w:eastAsiaTheme="majorEastAsia"/>
          <w:color w:val="000000" w:themeColor="text1"/>
          <w:sz w:val="24"/>
          <w14:textFill>
            <w14:solidFill>
              <w14:schemeClr w14:val="tx1"/>
            </w14:solidFill>
          </w14:textFill>
        </w:rPr>
        <w:t>终止不损害或不影响甲方已经采取或将要采取的任何要求乙方支付违约金</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赔偿损失等的行动或补救措施的权利</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7"/>
        <w:outlineLvl w:val="2"/>
        <w:rPr>
          <w:rFonts w:asciiTheme="majorEastAsia" w:hAnsiTheme="majorEastAsia" w:eastAsiaTheme="majorEastAsia"/>
          <w:b/>
          <w:color w:val="000000" w:themeColor="text1"/>
          <w:sz w:val="24"/>
          <w14:textFill>
            <w14:solidFill>
              <w14:schemeClr w14:val="tx1"/>
            </w14:solidFill>
          </w14:textFill>
        </w:rPr>
      </w:pPr>
      <w:bookmarkStart w:id="194" w:name="_Toc15387"/>
      <w:bookmarkStart w:id="195" w:name="_Toc6134"/>
      <w:bookmarkStart w:id="196" w:name="_Toc29333"/>
      <w:r>
        <w:rPr>
          <w:rFonts w:hint="eastAsia" w:asciiTheme="majorEastAsia" w:hAnsiTheme="majorEastAsia" w:eastAsiaTheme="majorEastAsia"/>
          <w:b/>
          <w:bCs/>
          <w:color w:val="000000" w:themeColor="text1"/>
          <w:sz w:val="24"/>
          <w:lang w:val="zh-CN"/>
          <w14:textFill>
            <w14:solidFill>
              <w14:schemeClr w14:val="tx1"/>
            </w14:solidFill>
          </w14:textFill>
        </w:rPr>
        <w:t>2.16 合同中止、终止</w:t>
      </w:r>
      <w:bookmarkEnd w:id="194"/>
      <w:bookmarkEnd w:id="195"/>
      <w:bookmarkEnd w:id="196"/>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2.16.1双方当事人不得擅自中止或者终止合同；</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ajorEastAsia" w:hAnsiTheme="majorEastAsia" w:eastAsiaTheme="majorEastAsia"/>
          <w:b/>
          <w:bCs/>
          <w:color w:val="000000" w:themeColor="text1"/>
          <w:sz w:val="24"/>
          <w:lang w:val="zh-CN"/>
          <w14:textFill>
            <w14:solidFill>
              <w14:schemeClr w14:val="tx1"/>
            </w14:solidFill>
          </w14:textFill>
        </w:rPr>
      </w:pPr>
      <w:bookmarkStart w:id="197" w:name="_Toc6596"/>
      <w:bookmarkStart w:id="198" w:name="_Toc1125"/>
      <w:bookmarkStart w:id="199" w:name="_Toc14563"/>
      <w:r>
        <w:rPr>
          <w:rFonts w:hint="eastAsia" w:asciiTheme="majorEastAsia" w:hAnsiTheme="majorEastAsia" w:eastAsiaTheme="majorEastAsia"/>
          <w:b/>
          <w:bCs/>
          <w:color w:val="000000" w:themeColor="text1"/>
          <w:sz w:val="24"/>
          <w:lang w:val="zh-CN"/>
          <w14:textFill>
            <w14:solidFill>
              <w14:schemeClr w14:val="tx1"/>
            </w14:solidFill>
          </w14:textFill>
        </w:rPr>
        <w:t>2.17 检验和验收</w:t>
      </w:r>
      <w:bookmarkEnd w:id="197"/>
      <w:bookmarkEnd w:id="198"/>
      <w:bookmarkEnd w:id="199"/>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w:t>
      </w:r>
      <w:r>
        <w:rPr>
          <w:rFonts w:hint="eastAsia" w:asciiTheme="majorEastAsia" w:hAnsiTheme="majorEastAsia" w:eastAsiaTheme="majorEastAsia"/>
          <w:color w:val="000000" w:themeColor="text1"/>
          <w:sz w:val="24"/>
          <w14:textFill>
            <w14:solidFill>
              <w14:schemeClr w14:val="tx1"/>
            </w14:solidFill>
          </w14:textFill>
        </w:rPr>
        <w:t>7</w:t>
      </w:r>
      <w:r>
        <w:rPr>
          <w:rFonts w:asciiTheme="majorEastAsia" w:hAnsiTheme="majorEastAsia" w:eastAsiaTheme="majorEastAsia"/>
          <w:color w:val="000000" w:themeColor="text1"/>
          <w:sz w:val="24"/>
          <w14:textFill>
            <w14:solidFill>
              <w14:schemeClr w14:val="tx1"/>
            </w14:solidFill>
          </w14:textFill>
        </w:rPr>
        <w:t>.</w:t>
      </w:r>
      <w:r>
        <w:rPr>
          <w:rFonts w:hint="eastAsia" w:asciiTheme="majorEastAsia" w:hAnsiTheme="majorEastAsia" w:eastAsiaTheme="majorEastAsia"/>
          <w:color w:val="000000" w:themeColor="text1"/>
          <w:sz w:val="24"/>
          <w14:textFill>
            <w14:solidFill>
              <w14:schemeClr w14:val="tx1"/>
            </w14:solidFill>
          </w14:textFill>
        </w:rPr>
        <w:t>1货物交付前，乙方应对货物的质量、数量等方面进行详细、全面的检验，并向甲方出具证明货物符合合同约定的文件；货物交付时，乙方在</w:t>
      </w:r>
      <w:r>
        <w:rPr>
          <w:rFonts w:hint="eastAsia" w:asciiTheme="majorEastAsia" w:hAnsiTheme="majorEastAsia" w:eastAsiaTheme="majorEastAsia"/>
          <w:b/>
          <w:i/>
          <w:color w:val="000000" w:themeColor="text1"/>
          <w:sz w:val="24"/>
          <w:u w:val="single"/>
          <w14:textFill>
            <w14:solidFill>
              <w14:schemeClr w14:val="tx1"/>
            </w14:solidFill>
          </w14:textFill>
        </w:rPr>
        <w:t>合同专用条款</w:t>
      </w:r>
      <w:r>
        <w:rPr>
          <w:rFonts w:hint="eastAsia" w:asciiTheme="majorEastAsia" w:hAnsiTheme="majorEastAsia" w:eastAsiaTheme="majorEastAsia"/>
          <w:color w:val="000000" w:themeColor="text1"/>
          <w:sz w:val="24"/>
          <w14:textFill>
            <w14:solidFill>
              <w14:schemeClr w14:val="tx1"/>
            </w14:solidFill>
          </w14:textFill>
        </w:rPr>
        <w:t>约定时间内组织验收，并可依法邀请相关方参加，验收应出具验收书。</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2.17.3检验和验收标准、程序等具体内容以及前述验收书的效力详见</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hint="eastAsia" w:asciiTheme="majorEastAsia" w:hAnsiTheme="majorEastAsia" w:eastAsiaTheme="majorEastAsia"/>
          <w:i/>
          <w:color w:val="000000" w:themeColor="text1"/>
          <w:sz w:val="24"/>
          <w14:textFill>
            <w14:solidFill>
              <w14:schemeClr w14:val="tx1"/>
            </w14:solidFill>
          </w14:textFill>
        </w:rPr>
        <w:t>。</w:t>
      </w:r>
    </w:p>
    <w:bookmarkEnd w:id="169"/>
    <w:bookmarkEnd w:id="170"/>
    <w:bookmarkEnd w:id="171"/>
    <w:bookmarkEnd w:id="172"/>
    <w:p>
      <w:pPr>
        <w:spacing w:line="360" w:lineRule="auto"/>
        <w:ind w:firstLine="437"/>
        <w:outlineLvl w:val="2"/>
        <w:rPr>
          <w:rFonts w:asciiTheme="majorEastAsia" w:hAnsiTheme="majorEastAsia" w:eastAsiaTheme="majorEastAsia"/>
          <w:b/>
          <w:color w:val="000000" w:themeColor="text1"/>
          <w:sz w:val="24"/>
          <w14:textFill>
            <w14:solidFill>
              <w14:schemeClr w14:val="tx1"/>
            </w14:solidFill>
          </w14:textFill>
        </w:rPr>
      </w:pPr>
      <w:bookmarkStart w:id="200" w:name="_Toc4355"/>
      <w:bookmarkStart w:id="201" w:name="_Toc487900372"/>
      <w:bookmarkStart w:id="202" w:name="_Toc259093691"/>
      <w:bookmarkStart w:id="203" w:name="_Toc279701262"/>
      <w:bookmarkStart w:id="204" w:name="_Toc18540"/>
      <w:bookmarkStart w:id="205" w:name="_Toc30599"/>
      <w:r>
        <w:rPr>
          <w:rFonts w:hint="eastAsia" w:asciiTheme="majorEastAsia" w:hAnsiTheme="majorEastAsia" w:eastAsiaTheme="majorEastAsia"/>
          <w:b/>
          <w:bCs/>
          <w:color w:val="000000" w:themeColor="text1"/>
          <w:sz w:val="24"/>
          <w:lang w:val="zh-CN"/>
          <w14:textFill>
            <w14:solidFill>
              <w14:schemeClr w14:val="tx1"/>
            </w14:solidFill>
          </w14:textFill>
        </w:rPr>
        <w:t>2.1</w:t>
      </w:r>
      <w:r>
        <w:rPr>
          <w:rFonts w:asciiTheme="majorEastAsia" w:hAnsiTheme="majorEastAsia" w:eastAsiaTheme="majorEastAsia"/>
          <w:b/>
          <w:bCs/>
          <w:color w:val="000000" w:themeColor="text1"/>
          <w:sz w:val="24"/>
          <w:lang w:val="zh-CN"/>
          <w14:textFill>
            <w14:solidFill>
              <w14:schemeClr w14:val="tx1"/>
            </w14:solidFill>
          </w14:textFill>
        </w:rPr>
        <w:t>8</w:t>
      </w:r>
      <w:r>
        <w:rPr>
          <w:rFonts w:hint="eastAsia" w:asciiTheme="majorEastAsia" w:hAnsiTheme="majorEastAsia" w:eastAsiaTheme="majorEastAsia"/>
          <w:b/>
          <w:bCs/>
          <w:color w:val="000000" w:themeColor="text1"/>
          <w:sz w:val="24"/>
          <w:lang w:val="zh-CN"/>
          <w14:textFill>
            <w14:solidFill>
              <w14:schemeClr w14:val="tx1"/>
            </w14:solidFill>
          </w14:textFill>
        </w:rPr>
        <w:t xml:space="preserve"> </w:t>
      </w:r>
      <w:r>
        <w:rPr>
          <w:rFonts w:asciiTheme="majorEastAsia" w:hAnsiTheme="majorEastAsia" w:eastAsiaTheme="majorEastAsia"/>
          <w:b/>
          <w:bCs/>
          <w:color w:val="000000" w:themeColor="text1"/>
          <w:sz w:val="24"/>
          <w:lang w:val="zh-CN"/>
          <w14:textFill>
            <w14:solidFill>
              <w14:schemeClr w14:val="tx1"/>
            </w14:solidFill>
          </w14:textFill>
        </w:rPr>
        <w:t>计量单位</w:t>
      </w:r>
      <w:bookmarkEnd w:id="200"/>
      <w:bookmarkEnd w:id="201"/>
      <w:bookmarkEnd w:id="202"/>
      <w:bookmarkEnd w:id="203"/>
      <w:bookmarkEnd w:id="204"/>
      <w:bookmarkEnd w:id="205"/>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除技术规范中另有规定外,合同的计量单位均使用国家法定计量单位。</w:t>
      </w:r>
    </w:p>
    <w:p>
      <w:pPr>
        <w:spacing w:line="360" w:lineRule="auto"/>
        <w:ind w:firstLine="437"/>
        <w:outlineLvl w:val="2"/>
        <w:rPr>
          <w:rFonts w:asciiTheme="majorEastAsia" w:hAnsiTheme="majorEastAsia" w:eastAsiaTheme="majorEastAsia"/>
          <w:b/>
          <w:bCs/>
          <w:color w:val="000000" w:themeColor="text1"/>
          <w:sz w:val="24"/>
          <w14:textFill>
            <w14:solidFill>
              <w14:schemeClr w14:val="tx1"/>
            </w14:solidFill>
          </w14:textFill>
        </w:rPr>
      </w:pPr>
      <w:bookmarkStart w:id="206" w:name="_Toc279701263"/>
      <w:bookmarkStart w:id="207" w:name="_Toc18567"/>
      <w:bookmarkStart w:id="208" w:name="_Toc12773"/>
      <w:bookmarkStart w:id="209" w:name="_Toc487900373"/>
      <w:bookmarkStart w:id="210" w:name="_Toc259093692"/>
      <w:bookmarkStart w:id="211" w:name="_Toc10330"/>
      <w:r>
        <w:rPr>
          <w:rFonts w:hint="eastAsia" w:asciiTheme="majorEastAsia" w:hAnsiTheme="majorEastAsia" w:eastAsiaTheme="majorEastAsia"/>
          <w:b/>
          <w:bCs/>
          <w:color w:val="000000" w:themeColor="text1"/>
          <w:sz w:val="24"/>
          <w14:textFill>
            <w14:solidFill>
              <w14:schemeClr w14:val="tx1"/>
            </w14:solidFill>
          </w14:textFill>
        </w:rPr>
        <w:t>2.</w:t>
      </w:r>
      <w:r>
        <w:rPr>
          <w:rFonts w:asciiTheme="majorEastAsia" w:hAnsiTheme="majorEastAsia" w:eastAsiaTheme="majorEastAsia"/>
          <w:b/>
          <w:bCs/>
          <w:color w:val="000000" w:themeColor="text1"/>
          <w:sz w:val="24"/>
          <w14:textFill>
            <w14:solidFill>
              <w14:schemeClr w14:val="tx1"/>
            </w14:solidFill>
          </w14:textFill>
        </w:rPr>
        <w:t>19</w:t>
      </w:r>
      <w:r>
        <w:rPr>
          <w:rFonts w:hint="eastAsia" w:asciiTheme="majorEastAsia" w:hAnsiTheme="majorEastAsia" w:eastAsiaTheme="majorEastAsia"/>
          <w:b/>
          <w:bCs/>
          <w:color w:val="000000" w:themeColor="text1"/>
          <w:sz w:val="24"/>
          <w14:textFill>
            <w14:solidFill>
              <w14:schemeClr w14:val="tx1"/>
            </w14:solidFill>
          </w14:textFill>
        </w:rPr>
        <w:t xml:space="preserve"> </w:t>
      </w:r>
      <w:r>
        <w:rPr>
          <w:rFonts w:hint="eastAsia" w:asciiTheme="majorEastAsia" w:hAnsiTheme="majorEastAsia" w:eastAsiaTheme="majorEastAsia"/>
          <w:b/>
          <w:bCs/>
          <w:color w:val="000000" w:themeColor="text1"/>
          <w:sz w:val="24"/>
          <w:lang w:val="zh-CN"/>
          <w14:textFill>
            <w14:solidFill>
              <w14:schemeClr w14:val="tx1"/>
            </w14:solidFill>
          </w14:textFill>
        </w:rPr>
        <w:t>合同使用的文字和</w:t>
      </w:r>
      <w:r>
        <w:rPr>
          <w:rFonts w:asciiTheme="majorEastAsia" w:hAnsiTheme="majorEastAsia" w:eastAsiaTheme="majorEastAsia"/>
          <w:b/>
          <w:bCs/>
          <w:color w:val="000000" w:themeColor="text1"/>
          <w:sz w:val="24"/>
          <w:lang w:val="zh-CN"/>
          <w14:textFill>
            <w14:solidFill>
              <w14:schemeClr w14:val="tx1"/>
            </w14:solidFill>
          </w14:textFill>
        </w:rPr>
        <w:t>适用的法律</w:t>
      </w:r>
      <w:bookmarkEnd w:id="206"/>
      <w:bookmarkEnd w:id="207"/>
      <w:bookmarkEnd w:id="208"/>
      <w:bookmarkEnd w:id="209"/>
      <w:bookmarkEnd w:id="210"/>
      <w:bookmarkEnd w:id="211"/>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19.1合同使用汉语书就</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变更和解释</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w:t>
      </w:r>
      <w:r>
        <w:rPr>
          <w:rFonts w:asciiTheme="majorEastAsia" w:hAnsiTheme="majorEastAsia" w:eastAsiaTheme="majorEastAsia"/>
          <w:color w:val="000000" w:themeColor="text1"/>
          <w:sz w:val="24"/>
          <w14:textFill>
            <w14:solidFill>
              <w14:schemeClr w14:val="tx1"/>
            </w14:solidFill>
          </w14:textFill>
        </w:rPr>
        <w:t>19</w:t>
      </w:r>
      <w:r>
        <w:rPr>
          <w:rFonts w:hint="eastAsia" w:asciiTheme="majorEastAsia" w:hAnsiTheme="majorEastAsia" w:eastAsiaTheme="majorEastAsia"/>
          <w:color w:val="000000" w:themeColor="text1"/>
          <w:sz w:val="24"/>
          <w14:textFill>
            <w14:solidFill>
              <w14:schemeClr w14:val="tx1"/>
            </w14:solidFill>
          </w14:textFill>
        </w:rPr>
        <w:t>.2合同适用</w:t>
      </w:r>
      <w:r>
        <w:rPr>
          <w:rFonts w:asciiTheme="majorEastAsia" w:hAnsiTheme="majorEastAsia" w:eastAsiaTheme="majorEastAsia"/>
          <w:color w:val="000000" w:themeColor="text1"/>
          <w:sz w:val="24"/>
          <w14:textFill>
            <w14:solidFill>
              <w14:schemeClr w14:val="tx1"/>
            </w14:solidFill>
          </w14:textFill>
        </w:rPr>
        <w:t>中华人民共和国法律。</w:t>
      </w:r>
    </w:p>
    <w:p>
      <w:pPr>
        <w:spacing w:line="360" w:lineRule="auto"/>
        <w:ind w:firstLine="437"/>
        <w:outlineLvl w:val="2"/>
        <w:rPr>
          <w:rFonts w:asciiTheme="majorEastAsia" w:hAnsiTheme="majorEastAsia" w:eastAsiaTheme="majorEastAsia"/>
          <w:b/>
          <w:color w:val="000000" w:themeColor="text1"/>
          <w:sz w:val="24"/>
          <w14:textFill>
            <w14:solidFill>
              <w14:schemeClr w14:val="tx1"/>
            </w14:solidFill>
          </w14:textFill>
        </w:rPr>
      </w:pPr>
      <w:bookmarkStart w:id="212" w:name="_Toc12004"/>
      <w:bookmarkStart w:id="213" w:name="_Toc259093693"/>
      <w:bookmarkStart w:id="214" w:name="_Toc279701264"/>
      <w:bookmarkStart w:id="215" w:name="_Toc3148"/>
      <w:bookmarkStart w:id="216" w:name="_Toc16673"/>
      <w:bookmarkStart w:id="217" w:name="_Toc487900374"/>
      <w:r>
        <w:rPr>
          <w:rFonts w:hint="eastAsia" w:asciiTheme="majorEastAsia" w:hAnsiTheme="majorEastAsia" w:eastAsiaTheme="majorEastAsia"/>
          <w:b/>
          <w:bCs/>
          <w:color w:val="000000" w:themeColor="text1"/>
          <w:sz w:val="24"/>
          <w:lang w:val="zh-CN"/>
          <w14:textFill>
            <w14:solidFill>
              <w14:schemeClr w14:val="tx1"/>
            </w14:solidFill>
          </w14:textFill>
        </w:rPr>
        <w:t>2.2</w:t>
      </w:r>
      <w:r>
        <w:rPr>
          <w:rFonts w:asciiTheme="majorEastAsia" w:hAnsiTheme="majorEastAsia" w:eastAsiaTheme="majorEastAsia"/>
          <w:b/>
          <w:bCs/>
          <w:color w:val="000000" w:themeColor="text1"/>
          <w:sz w:val="24"/>
          <w:lang w:val="zh-CN"/>
          <w14:textFill>
            <w14:solidFill>
              <w14:schemeClr w14:val="tx1"/>
            </w14:solidFill>
          </w14:textFill>
        </w:rPr>
        <w:t>0</w:t>
      </w:r>
      <w:r>
        <w:rPr>
          <w:rFonts w:hint="eastAsia" w:asciiTheme="majorEastAsia" w:hAnsiTheme="majorEastAsia" w:eastAsiaTheme="majorEastAsia"/>
          <w:b/>
          <w:bCs/>
          <w:color w:val="000000" w:themeColor="text1"/>
          <w:sz w:val="24"/>
          <w:lang w:val="zh-CN"/>
          <w14:textFill>
            <w14:solidFill>
              <w14:schemeClr w14:val="tx1"/>
            </w14:solidFill>
          </w14:textFill>
        </w:rPr>
        <w:t xml:space="preserve"> </w:t>
      </w:r>
      <w:r>
        <w:rPr>
          <w:rFonts w:asciiTheme="majorEastAsia" w:hAnsiTheme="majorEastAsia" w:eastAsiaTheme="majorEastAsia"/>
          <w:b/>
          <w:bCs/>
          <w:color w:val="000000" w:themeColor="text1"/>
          <w:sz w:val="24"/>
          <w:lang w:val="zh-CN"/>
          <w14:textFill>
            <w14:solidFill>
              <w14:schemeClr w14:val="tx1"/>
            </w14:solidFill>
          </w14:textFill>
        </w:rPr>
        <w:t>履约保证金</w:t>
      </w:r>
      <w:bookmarkEnd w:id="212"/>
      <w:bookmarkEnd w:id="213"/>
      <w:bookmarkEnd w:id="214"/>
      <w:bookmarkEnd w:id="215"/>
      <w:bookmarkEnd w:id="216"/>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2.2</w:t>
      </w:r>
      <w:r>
        <w:rPr>
          <w:rFonts w:asciiTheme="majorEastAsia" w:hAnsiTheme="majorEastAsia" w:eastAsiaTheme="majorEastAsia"/>
          <w:color w:val="000000" w:themeColor="text1"/>
          <w:sz w:val="24"/>
          <w14:textFill>
            <w14:solidFill>
              <w14:schemeClr w14:val="tx1"/>
            </w14:solidFill>
          </w14:textFill>
        </w:rPr>
        <w:t>0</w:t>
      </w:r>
      <w:r>
        <w:rPr>
          <w:rFonts w:hint="eastAsia" w:asciiTheme="majorEastAsia" w:hAnsiTheme="majorEastAsia" w:eastAsiaTheme="majorEastAsia"/>
          <w:color w:val="000000" w:themeColor="text1"/>
          <w:sz w:val="24"/>
          <w14:textFill>
            <w14:solidFill>
              <w14:schemeClr w14:val="tx1"/>
            </w14:solidFill>
          </w14:textFill>
        </w:rPr>
        <w:t>.1采购文件要求乙方提交履约保证金的，乙方</w:t>
      </w:r>
      <w:r>
        <w:rPr>
          <w:rFonts w:asciiTheme="majorEastAsia" w:hAnsiTheme="majorEastAsia" w:eastAsiaTheme="majorEastAsia"/>
          <w:color w:val="000000" w:themeColor="text1"/>
          <w:sz w:val="24"/>
          <w14:textFill>
            <w14:solidFill>
              <w14:schemeClr w14:val="tx1"/>
            </w14:solidFill>
          </w14:textFill>
        </w:rPr>
        <w:t>应按</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约定的方式</w:t>
      </w:r>
      <w:r>
        <w:rPr>
          <w:rFonts w:hint="eastAsia" w:asciiTheme="majorEastAsia" w:hAnsiTheme="majorEastAsia" w:eastAsiaTheme="majorEastAsia"/>
          <w:color w:val="000000" w:themeColor="text1"/>
          <w:sz w:val="24"/>
          <w14:textFill>
            <w14:solidFill>
              <w14:schemeClr w14:val="tx1"/>
            </w14:solidFill>
          </w14:textFill>
        </w:rPr>
        <w:t>，以支票、汇票、本票或者金融机构、担保机构出具的保函等非现金形式提交；</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2.2</w:t>
      </w:r>
      <w:r>
        <w:rPr>
          <w:rFonts w:asciiTheme="majorEastAsia" w:hAnsiTheme="majorEastAsia" w:eastAsiaTheme="majorEastAsia"/>
          <w:color w:val="000000" w:themeColor="text1"/>
          <w:sz w:val="24"/>
          <w14:textFill>
            <w14:solidFill>
              <w14:schemeClr w14:val="tx1"/>
            </w14:solidFill>
          </w14:textFill>
        </w:rPr>
        <w:t>0.2履约保证金在</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约定期间内或者货物质量保证期内不予退还或者应完全有效</w:t>
      </w:r>
      <w:r>
        <w:rPr>
          <w:rFonts w:hint="eastAsia" w:asciiTheme="majorEastAsia" w:hAnsiTheme="majorEastAsia" w:eastAsiaTheme="majorEastAsia"/>
          <w:color w:val="000000" w:themeColor="text1"/>
          <w:sz w:val="24"/>
          <w14:textFill>
            <w14:solidFill>
              <w14:schemeClr w14:val="tx1"/>
            </w14:solidFill>
          </w14:textFill>
        </w:rPr>
        <w:t>，前述约定期间届满或者</w:t>
      </w:r>
      <w:r>
        <w:rPr>
          <w:rFonts w:asciiTheme="majorEastAsia" w:hAnsiTheme="majorEastAsia" w:eastAsiaTheme="majorEastAsia"/>
          <w:color w:val="000000" w:themeColor="text1"/>
          <w:sz w:val="24"/>
          <w14:textFill>
            <w14:solidFill>
              <w14:schemeClr w14:val="tx1"/>
            </w14:solidFill>
          </w14:textFill>
        </w:rPr>
        <w:t>货物质量保证期届满之日起</w:t>
      </w:r>
      <w:r>
        <w:rPr>
          <w:rFonts w:hint="eastAsia" w:asciiTheme="majorEastAsia" w:hAnsiTheme="majorEastAsia" w:eastAsiaTheme="majorEastAsia"/>
          <w:color w:val="000000" w:themeColor="text1"/>
          <w:sz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14:textFill>
            <w14:solidFill>
              <w14:schemeClr w14:val="tx1"/>
            </w14:solidFill>
          </w14:textFill>
        </w:rPr>
        <w:t>个</w:t>
      </w:r>
      <w:r>
        <w:rPr>
          <w:rFonts w:asciiTheme="majorEastAsia" w:hAnsiTheme="majorEastAsia" w:eastAsiaTheme="majorEastAsia"/>
          <w:color w:val="000000" w:themeColor="text1"/>
          <w:sz w:val="24"/>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2.2</w:t>
      </w:r>
      <w:r>
        <w:rPr>
          <w:rFonts w:asciiTheme="majorEastAsia" w:hAnsiTheme="majorEastAsia" w:eastAsiaTheme="majorEastAsia"/>
          <w:color w:val="000000" w:themeColor="text1"/>
          <w:sz w:val="24"/>
          <w14:textFill>
            <w14:solidFill>
              <w14:schemeClr w14:val="tx1"/>
            </w14:solidFill>
          </w14:textFill>
        </w:rPr>
        <w:t>0</w:t>
      </w:r>
      <w:r>
        <w:rPr>
          <w:rFonts w:hint="eastAsia" w:asciiTheme="majorEastAsia" w:hAnsiTheme="majorEastAsia" w:eastAsiaTheme="majorEastAsia"/>
          <w:color w:val="000000" w:themeColor="text1"/>
          <w:sz w:val="24"/>
          <w14:textFill>
            <w14:solidFill>
              <w14:schemeClr w14:val="tx1"/>
            </w14:solidFill>
          </w14:textFill>
        </w:rPr>
        <w:t>.3</w:t>
      </w:r>
      <w:r>
        <w:rPr>
          <w:rFonts w:asciiTheme="majorEastAsia" w:hAnsiTheme="majorEastAsia" w:eastAsiaTheme="majorEastAsia"/>
          <w:color w:val="000000" w:themeColor="text1"/>
          <w:sz w:val="24"/>
          <w14:textFill>
            <w14:solidFill>
              <w14:schemeClr w14:val="tx1"/>
            </w14:solidFill>
          </w14:textFill>
        </w:rPr>
        <w:t>如果乙方不履行合同</w:t>
      </w:r>
      <w:r>
        <w:rPr>
          <w:rFonts w:hint="eastAsia" w:asciiTheme="majorEastAsia" w:hAnsiTheme="majorEastAsia" w:eastAsiaTheme="majorEastAsia"/>
          <w:color w:val="000000" w:themeColor="text1"/>
          <w:sz w:val="24"/>
          <w14:textFill>
            <w14:solidFill>
              <w14:schemeClr w14:val="tx1"/>
            </w14:solidFill>
          </w14:textFill>
        </w:rPr>
        <w:t>，履约保证金不予退还；如果乙方</w:t>
      </w:r>
      <w:r>
        <w:rPr>
          <w:rFonts w:asciiTheme="majorEastAsia" w:hAnsiTheme="majorEastAsia" w:eastAsiaTheme="majorEastAsia"/>
          <w:color w:val="000000" w:themeColor="text1"/>
          <w:sz w:val="24"/>
          <w14:textFill>
            <w14:solidFill>
              <w14:schemeClr w14:val="tx1"/>
            </w14:solidFill>
          </w14:textFill>
        </w:rPr>
        <w:t>未能按合同</w:t>
      </w:r>
      <w:r>
        <w:rPr>
          <w:rFonts w:hint="eastAsia" w:asciiTheme="majorEastAsia" w:hAnsiTheme="majorEastAsia" w:eastAsiaTheme="majorEastAsia"/>
          <w:color w:val="000000" w:themeColor="text1"/>
          <w:sz w:val="24"/>
          <w14:textFill>
            <w14:solidFill>
              <w14:schemeClr w14:val="tx1"/>
            </w14:solidFill>
          </w14:textFill>
        </w:rPr>
        <w:t>约</w:t>
      </w:r>
      <w:r>
        <w:rPr>
          <w:rFonts w:asciiTheme="majorEastAsia" w:hAnsiTheme="majorEastAsia" w:eastAsiaTheme="majorEastAsia"/>
          <w:color w:val="000000" w:themeColor="text1"/>
          <w:sz w:val="24"/>
          <w14:textFill>
            <w14:solidFill>
              <w14:schemeClr w14:val="tx1"/>
            </w14:solidFill>
          </w14:textFill>
        </w:rPr>
        <w:t>定全面履行义务，那么甲方有权从履约保证金中取得补偿或赔偿</w:t>
      </w:r>
      <w:r>
        <w:rPr>
          <w:rFonts w:hint="eastAsia" w:asciiTheme="majorEastAsia" w:hAnsiTheme="majorEastAsia" w:eastAsiaTheme="majorEastAsia"/>
          <w:color w:val="000000" w:themeColor="text1"/>
          <w:sz w:val="24"/>
          <w14:textFill>
            <w14:solidFill>
              <w14:schemeClr w14:val="tx1"/>
            </w14:solidFill>
          </w14:textFill>
        </w:rPr>
        <w:t>，同时不影响甲方要求乙方承担合同约定的超过履约保证金的违约责任的权利。</w:t>
      </w:r>
    </w:p>
    <w:bookmarkEnd w:id="217"/>
    <w:p>
      <w:pPr>
        <w:spacing w:line="360" w:lineRule="auto"/>
        <w:ind w:firstLine="437"/>
        <w:outlineLvl w:val="2"/>
        <w:rPr>
          <w:rFonts w:asciiTheme="majorEastAsia" w:hAnsiTheme="majorEastAsia" w:eastAsiaTheme="majorEastAsia"/>
          <w:b/>
          <w:color w:val="000000" w:themeColor="text1"/>
          <w:sz w:val="24"/>
          <w14:textFill>
            <w14:solidFill>
              <w14:schemeClr w14:val="tx1"/>
            </w14:solidFill>
          </w14:textFill>
        </w:rPr>
      </w:pPr>
      <w:bookmarkStart w:id="218" w:name="_Toc19890"/>
      <w:bookmarkStart w:id="219" w:name="_Toc6885"/>
      <w:bookmarkStart w:id="220" w:name="_Toc14001"/>
      <w:r>
        <w:rPr>
          <w:rFonts w:hint="eastAsia" w:asciiTheme="majorEastAsia" w:hAnsiTheme="majorEastAsia" w:eastAsiaTheme="majorEastAsia"/>
          <w:b/>
          <w:bCs/>
          <w:color w:val="000000" w:themeColor="text1"/>
          <w:sz w:val="24"/>
          <w:lang w:val="zh-CN"/>
          <w14:textFill>
            <w14:solidFill>
              <w14:schemeClr w14:val="tx1"/>
            </w14:solidFill>
          </w14:textFill>
        </w:rPr>
        <w:t>2.2</w:t>
      </w:r>
      <w:r>
        <w:rPr>
          <w:rFonts w:asciiTheme="majorEastAsia" w:hAnsiTheme="majorEastAsia" w:eastAsiaTheme="majorEastAsia"/>
          <w:b/>
          <w:bCs/>
          <w:color w:val="000000" w:themeColor="text1"/>
          <w:sz w:val="24"/>
          <w:lang w:val="zh-CN"/>
          <w14:textFill>
            <w14:solidFill>
              <w14:schemeClr w14:val="tx1"/>
            </w14:solidFill>
          </w14:textFill>
        </w:rPr>
        <w:t>1</w:t>
      </w:r>
      <w:r>
        <w:rPr>
          <w:rFonts w:hint="eastAsia" w:asciiTheme="majorEastAsia" w:hAnsiTheme="majorEastAsia" w:eastAsiaTheme="majorEastAsia"/>
          <w:b/>
          <w:bCs/>
          <w:color w:val="000000" w:themeColor="text1"/>
          <w:sz w:val="24"/>
          <w:lang w:val="zh-CN"/>
          <w14:textFill>
            <w14:solidFill>
              <w14:schemeClr w14:val="tx1"/>
            </w14:solidFill>
          </w14:textFill>
        </w:rPr>
        <w:t xml:space="preserve"> 合同份数</w:t>
      </w:r>
      <w:bookmarkEnd w:id="218"/>
      <w:bookmarkEnd w:id="219"/>
      <w:bookmarkEnd w:id="220"/>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t>合同份数按</w:t>
      </w:r>
      <w:r>
        <w:rPr>
          <w:rFonts w:asciiTheme="majorEastAsia" w:hAnsiTheme="majorEastAsia" w:eastAsiaTheme="majorEastAsia"/>
          <w:b/>
          <w:i/>
          <w:color w:val="000000" w:themeColor="text1"/>
          <w:sz w:val="24"/>
          <w:u w:val="single"/>
          <w14:textFill>
            <w14:solidFill>
              <w14:schemeClr w14:val="tx1"/>
            </w14:solidFill>
          </w14:textFill>
        </w:rPr>
        <w:t>合同专用条款</w:t>
      </w:r>
      <w:r>
        <w:rPr>
          <w:rFonts w:asciiTheme="majorEastAsia" w:hAnsiTheme="majorEastAsia" w:eastAsiaTheme="majorEastAsia"/>
          <w:color w:val="000000" w:themeColor="text1"/>
          <w:sz w:val="24"/>
          <w14:textFill>
            <w14:solidFill>
              <w14:schemeClr w14:val="tx1"/>
            </w14:solidFill>
          </w14:textFill>
        </w:rPr>
        <w:t>规定</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每份均具有同等法律效力</w:t>
      </w:r>
      <w:r>
        <w:rPr>
          <w:rFonts w:hint="eastAsia" w:asciiTheme="majorEastAsia" w:hAnsiTheme="majorEastAsia" w:eastAsiaTheme="majorEastAsia"/>
          <w:color w:val="000000" w:themeColor="text1"/>
          <w:sz w:val="24"/>
          <w14:textFill>
            <w14:solidFill>
              <w14:schemeClr w14:val="tx1"/>
            </w14:solidFill>
          </w14:textFill>
        </w:rPr>
        <w:t>。</w:t>
      </w:r>
    </w:p>
    <w:p>
      <w:pPr>
        <w:spacing w:line="360" w:lineRule="auto"/>
        <w:jc w:val="center"/>
        <w:outlineLvl w:val="1"/>
        <w:rPr>
          <w:rFonts w:asciiTheme="majorEastAsia" w:hAnsiTheme="majorEastAsia" w:eastAsiaTheme="majorEastAsia"/>
          <w:b/>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bookmarkStart w:id="221" w:name="_Toc331685784"/>
      <w:bookmarkStart w:id="222" w:name="_Toc27768"/>
      <w:bookmarkStart w:id="223" w:name="_Toc32620"/>
      <w:r>
        <w:rPr>
          <w:rFonts w:hint="eastAsia" w:asciiTheme="majorEastAsia" w:hAnsiTheme="majorEastAsia" w:eastAsiaTheme="majorEastAsia"/>
          <w:b/>
          <w:color w:val="000000" w:themeColor="text1"/>
          <w:sz w:val="24"/>
          <w14:textFill>
            <w14:solidFill>
              <w14:schemeClr w14:val="tx1"/>
            </w14:solidFill>
          </w14:textFill>
        </w:rPr>
        <w:t>第三部分</w:t>
      </w:r>
      <w:r>
        <w:rPr>
          <w:rFonts w:asciiTheme="majorEastAsia" w:hAnsiTheme="majorEastAsia" w:eastAsiaTheme="majorEastAsia"/>
          <w:b/>
          <w:color w:val="000000" w:themeColor="text1"/>
          <w:sz w:val="24"/>
          <w14:textFill>
            <w14:solidFill>
              <w14:schemeClr w14:val="tx1"/>
            </w14:solidFill>
          </w14:textFill>
        </w:rPr>
        <w:t xml:space="preserve"> </w:t>
      </w:r>
      <w:r>
        <w:rPr>
          <w:rFonts w:hint="eastAsia" w:asciiTheme="majorEastAsia" w:hAnsiTheme="majorEastAsia" w:eastAsiaTheme="majorEastAsia"/>
          <w:b/>
          <w:color w:val="000000" w:themeColor="text1"/>
          <w:sz w:val="24"/>
          <w14:textFill>
            <w14:solidFill>
              <w14:schemeClr w14:val="tx1"/>
            </w14:solidFill>
          </w14:textFill>
        </w:rPr>
        <w:t>合同专用条款</w:t>
      </w:r>
      <w:bookmarkEnd w:id="221"/>
      <w:bookmarkEnd w:id="222"/>
      <w:bookmarkEnd w:id="223"/>
    </w:p>
    <w:p>
      <w:pPr>
        <w:spacing w:line="360" w:lineRule="auto"/>
        <w:ind w:firstLine="435"/>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本部分</w:t>
      </w:r>
      <w:r>
        <w:rPr>
          <w:rFonts w:asciiTheme="majorEastAsia" w:hAnsiTheme="majorEastAsia" w:eastAsiaTheme="majorEastAsia"/>
          <w:color w:val="000000" w:themeColor="text1"/>
          <w:sz w:val="24"/>
          <w14:textFill>
            <w14:solidFill>
              <w14:schemeClr w14:val="tx1"/>
            </w14:solidFill>
          </w14:textFill>
        </w:rPr>
        <w:t>是对</w:t>
      </w:r>
      <w:r>
        <w:rPr>
          <w:rFonts w:hint="eastAsia" w:asciiTheme="majorEastAsia" w:hAnsiTheme="majorEastAsia" w:eastAsiaTheme="majorEastAsia"/>
          <w:color w:val="000000" w:themeColor="text1"/>
          <w:sz w:val="24"/>
          <w14:textFill>
            <w14:solidFill>
              <w14:schemeClr w14:val="tx1"/>
            </w14:solidFill>
          </w14:textFill>
        </w:rPr>
        <w:t>前两</w:t>
      </w:r>
      <w:r>
        <w:rPr>
          <w:rFonts w:asciiTheme="majorEastAsia" w:hAnsiTheme="majorEastAsia" w:eastAsiaTheme="majorEastAsia"/>
          <w:color w:val="000000" w:themeColor="text1"/>
          <w:sz w:val="24"/>
          <w14:textFill>
            <w14:solidFill>
              <w14:schemeClr w14:val="tx1"/>
            </w14:solidFill>
          </w14:textFill>
        </w:rPr>
        <w:t>部分的补充和修改</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如果</w:t>
      </w:r>
      <w:r>
        <w:rPr>
          <w:rFonts w:hint="eastAsia" w:asciiTheme="majorEastAsia" w:hAnsiTheme="majorEastAsia" w:eastAsiaTheme="majorEastAsia"/>
          <w:color w:val="000000" w:themeColor="text1"/>
          <w:sz w:val="24"/>
          <w14:textFill>
            <w14:solidFill>
              <w14:schemeClr w14:val="tx1"/>
            </w14:solidFill>
          </w14:textFill>
        </w:rPr>
        <w:t>前两</w:t>
      </w:r>
      <w:r>
        <w:rPr>
          <w:rFonts w:asciiTheme="majorEastAsia" w:hAnsiTheme="majorEastAsia" w:eastAsiaTheme="majorEastAsia"/>
          <w:color w:val="000000" w:themeColor="text1"/>
          <w:sz w:val="24"/>
          <w14:textFill>
            <w14:solidFill>
              <w14:schemeClr w14:val="tx1"/>
            </w14:solidFill>
          </w14:textFill>
        </w:rPr>
        <w:t>部分和本部分的约定不一致</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应以本部分的约定为准</w:t>
      </w:r>
      <w:r>
        <w:rPr>
          <w:rFonts w:hint="eastAsia" w:asciiTheme="majorEastAsia" w:hAnsiTheme="majorEastAsia" w:eastAsiaTheme="majorEastAsia"/>
          <w:color w:val="000000" w:themeColor="text1"/>
          <w:sz w:val="24"/>
          <w14:textFill>
            <w14:solidFill>
              <w14:schemeClr w14:val="tx1"/>
            </w14:solidFill>
          </w14:textFill>
        </w:rPr>
        <w:t>。</w:t>
      </w:r>
      <w:r>
        <w:rPr>
          <w:rFonts w:asciiTheme="majorEastAsia" w:hAnsiTheme="majorEastAsia" w:eastAsiaTheme="majorEastAsia"/>
          <w:color w:val="000000" w:themeColor="text1"/>
          <w:sz w:val="24"/>
          <w14:textFill>
            <w14:solidFill>
              <w14:schemeClr w14:val="tx1"/>
            </w14:solidFill>
          </w14:textFill>
        </w:rPr>
        <w:t>本部分的条款号应与</w:t>
      </w:r>
      <w:r>
        <w:rPr>
          <w:rFonts w:hint="eastAsia" w:asciiTheme="majorEastAsia" w:hAnsiTheme="majorEastAsia" w:eastAsiaTheme="majorEastAsia"/>
          <w:color w:val="000000" w:themeColor="text1"/>
          <w:sz w:val="24"/>
          <w14:textFill>
            <w14:solidFill>
              <w14:schemeClr w14:val="tx1"/>
            </w14:solidFill>
          </w14:textFill>
        </w:rPr>
        <w:t>前两部分</w:t>
      </w:r>
      <w:r>
        <w:rPr>
          <w:rFonts w:asciiTheme="majorEastAsia" w:hAnsiTheme="majorEastAsia" w:eastAsiaTheme="majorEastAsia"/>
          <w:color w:val="000000" w:themeColor="text1"/>
          <w:sz w:val="24"/>
          <w14:textFill>
            <w14:solidFill>
              <w14:schemeClr w14:val="tx1"/>
            </w14:solidFill>
          </w14:textFill>
        </w:rPr>
        <w:t>的条款号保持对应</w:t>
      </w:r>
      <w:r>
        <w:rPr>
          <w:rFonts w:hint="eastAsia" w:asciiTheme="majorEastAsia" w:hAnsiTheme="majorEastAsia" w:eastAsiaTheme="majorEastAsia"/>
          <w:color w:val="000000" w:themeColor="text1"/>
          <w:sz w:val="24"/>
          <w14:textFill>
            <w14:solidFill>
              <w14:schemeClr w14:val="tx1"/>
            </w14:solidFill>
          </w14:textFill>
        </w:rPr>
        <w:t>；与前两部分</w:t>
      </w:r>
      <w:r>
        <w:rPr>
          <w:rFonts w:asciiTheme="majorEastAsia" w:hAnsiTheme="majorEastAsia" w:eastAsiaTheme="majorEastAsia"/>
          <w:color w:val="000000" w:themeColor="text1"/>
          <w:sz w:val="24"/>
          <w14:textFill>
            <w14:solidFill>
              <w14:schemeClr w14:val="tx1"/>
            </w14:solidFill>
          </w14:textFill>
        </w:rPr>
        <w:t>无对应关系的内容可另行编制条款号</w:t>
      </w:r>
      <w:r>
        <w:rPr>
          <w:rFonts w:hint="eastAsia" w:asciiTheme="majorEastAsia" w:hAnsiTheme="majorEastAsia" w:eastAsiaTheme="majorEastAsia"/>
          <w:color w:val="000000" w:themeColor="text1"/>
          <w:sz w:val="24"/>
          <w14:textFill>
            <w14:solidFill>
              <w14:schemeClr w14:val="tx1"/>
            </w14:solidFill>
          </w14:textFill>
        </w:rPr>
        <w:t>。</w:t>
      </w:r>
    </w:p>
    <w:tbl>
      <w:tblPr>
        <w:tblStyle w:val="19"/>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ajorEastAsia" w:hAnsiTheme="majorEastAsia" w:eastAsiaTheme="majorEastAsia"/>
                <w:b/>
                <w:color w:val="000000" w:themeColor="text1"/>
                <w:sz w:val="24"/>
                <w14:textFill>
                  <w14:solidFill>
                    <w14:schemeClr w14:val="tx1"/>
                  </w14:solidFill>
                </w14:textFill>
              </w:rPr>
            </w:pPr>
            <w:r>
              <w:rPr>
                <w:rFonts w:asciiTheme="majorEastAsia" w:hAnsiTheme="majorEastAsia" w:eastAsiaTheme="majorEastAsia"/>
                <w:b/>
                <w:color w:val="000000" w:themeColor="text1"/>
                <w:sz w:val="24"/>
                <w14:textFill>
                  <w14:solidFill>
                    <w14:schemeClr w14:val="tx1"/>
                  </w14:solidFill>
                </w14:textFill>
              </w:rPr>
              <w:t>条款号</w:t>
            </w:r>
          </w:p>
        </w:tc>
        <w:tc>
          <w:tcPr>
            <w:tcW w:w="4525" w:type="pct"/>
            <w:vAlign w:val="center"/>
          </w:tcPr>
          <w:p>
            <w:pPr>
              <w:jc w:val="center"/>
              <w:rPr>
                <w:rFonts w:asciiTheme="majorEastAsia" w:hAnsiTheme="majorEastAsia" w:eastAsiaTheme="majorEastAsia"/>
                <w:b/>
                <w:color w:val="000000" w:themeColor="text1"/>
                <w:sz w:val="24"/>
                <w14:textFill>
                  <w14:solidFill>
                    <w14:schemeClr w14:val="tx1"/>
                  </w14:solidFill>
                </w14:textFill>
              </w:rPr>
            </w:pPr>
            <w:r>
              <w:rPr>
                <w:rFonts w:asciiTheme="majorEastAsia" w:hAnsiTheme="majorEastAsia" w:eastAsiaTheme="majorEastAsia"/>
                <w:b/>
                <w:color w:val="000000" w:themeColor="text1"/>
                <w:sz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ajorEastAsia" w:hAnsiTheme="majorEastAsia" w:eastAsiaTheme="majorEastAsia"/>
                <w:color w:val="000000" w:themeColor="text1"/>
                <w:sz w:val="24"/>
                <w14:textFill>
                  <w14:solidFill>
                    <w14:schemeClr w14:val="tx1"/>
                  </w14:solidFill>
                </w14:textFill>
              </w:rPr>
            </w:pPr>
          </w:p>
        </w:tc>
      </w:tr>
    </w:tbl>
    <w:p>
      <w:pPr>
        <w:widowControl/>
        <w:jc w:val="left"/>
        <w:rPr>
          <w:rFonts w:asciiTheme="majorEastAsia" w:hAnsiTheme="majorEastAsia" w:eastAsiaTheme="majorEastAsia"/>
          <w:color w:val="000000" w:themeColor="text1"/>
          <w:sz w:val="24"/>
          <w14:textFill>
            <w14:solidFill>
              <w14:schemeClr w14:val="tx1"/>
            </w14:solidFill>
          </w14:textFill>
        </w:rPr>
      </w:pPr>
    </w:p>
    <w:p>
      <w:pPr>
        <w:widowControl/>
        <w:jc w:val="left"/>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spacing w:line="360" w:lineRule="auto"/>
        <w:jc w:val="center"/>
        <w:outlineLvl w:val="0"/>
        <w:rPr>
          <w:rFonts w:hint="eastAsia" w:asciiTheme="majorEastAsia" w:hAnsiTheme="majorEastAsia" w:eastAsiaTheme="majorEastAsia"/>
          <w:b/>
          <w:color w:val="auto"/>
          <w:sz w:val="28"/>
          <w:highlight w:val="none"/>
        </w:rPr>
      </w:pPr>
      <w:bookmarkStart w:id="224" w:name="_Toc31831"/>
      <w:r>
        <w:rPr>
          <w:rFonts w:hint="eastAsia" w:asciiTheme="majorEastAsia" w:hAnsiTheme="majorEastAsia" w:eastAsiaTheme="majorEastAsia"/>
          <w:b/>
          <w:color w:val="auto"/>
          <w:sz w:val="28"/>
          <w:highlight w:val="none"/>
        </w:rPr>
        <w:t>第六章  响应文件格式</w:t>
      </w:r>
      <w:bookmarkEnd w:id="224"/>
    </w:p>
    <w:p>
      <w:pPr>
        <w:spacing w:line="360" w:lineRule="auto"/>
        <w:jc w:val="center"/>
        <w:outlineLvl w:val="0"/>
        <w:rPr>
          <w:rFonts w:hint="eastAsia" w:asciiTheme="majorEastAsia" w:hAnsiTheme="majorEastAsia" w:eastAsiaTheme="majorEastAsia"/>
          <w:b/>
          <w:color w:val="auto"/>
          <w:sz w:val="28"/>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响</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应</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文</w:t>
      </w:r>
    </w:p>
    <w:p>
      <w:pPr>
        <w:spacing w:line="900" w:lineRule="exact"/>
        <w:jc w:val="center"/>
        <w:rPr>
          <w:rFonts w:asciiTheme="majorEastAsia" w:hAnsiTheme="majorEastAsia" w:eastAsiaTheme="majorEastAsia"/>
          <w:b/>
          <w:color w:val="auto"/>
          <w:sz w:val="72"/>
          <w:highlight w:val="none"/>
        </w:rPr>
      </w:pPr>
    </w:p>
    <w:p>
      <w:pPr>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件</w:t>
      </w:r>
    </w:p>
    <w:p>
      <w:pPr>
        <w:spacing w:after="156" w:afterLines="50"/>
        <w:jc w:val="center"/>
        <w:rPr>
          <w:rFonts w:asciiTheme="majorEastAsia" w:hAnsiTheme="majorEastAsia" w:eastAsiaTheme="majorEastAsia"/>
          <w:b/>
          <w:color w:val="auto"/>
          <w:sz w:val="72"/>
          <w:highlight w:val="none"/>
        </w:rPr>
      </w:pPr>
    </w:p>
    <w:p>
      <w:pPr>
        <w:spacing w:after="156" w:afterLines="50" w:line="500" w:lineRule="exact"/>
        <w:jc w:val="center"/>
        <w:outlineLvl w:val="0"/>
        <w:rPr>
          <w:rFonts w:asciiTheme="majorEastAsia" w:hAnsiTheme="majorEastAsia" w:eastAsiaTheme="majorEastAsia"/>
          <w:b/>
          <w:color w:val="auto"/>
          <w:sz w:val="28"/>
          <w:szCs w:val="28"/>
          <w:highlight w:val="none"/>
        </w:rPr>
      </w:pPr>
      <w:bookmarkStart w:id="225" w:name="_Toc32506"/>
      <w:bookmarkStart w:id="226" w:name="_Toc2673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25"/>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26"/>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ajorEastAsia" w:hAnsiTheme="majorEastAsia" w:eastAsiaTheme="majorEastAsia"/>
          <w:b/>
          <w:color w:val="auto"/>
          <w:sz w:val="32"/>
          <w:highlight w:val="none"/>
        </w:rPr>
      </w:pPr>
      <w:r>
        <w:rPr>
          <w:rFonts w:hint="eastAsia" w:asciiTheme="majorEastAsia" w:hAnsiTheme="majorEastAsia" w:eastAsiaTheme="majorEastAsia"/>
          <w:b/>
          <w:color w:val="auto"/>
          <w:sz w:val="32"/>
          <w:highlight w:val="none"/>
          <w:u w:val="single"/>
        </w:rPr>
        <w:t xml:space="preserve">    </w:t>
      </w:r>
      <w:bookmarkStart w:id="227" w:name="_Toc6477"/>
      <w:bookmarkStart w:id="228" w:name="_Toc10916"/>
      <w:bookmarkStart w:id="229" w:name="_Toc11460"/>
      <w:r>
        <w:rPr>
          <w:rFonts w:hint="eastAsia" w:asciiTheme="majorEastAsia" w:hAnsiTheme="majorEastAsia" w:eastAsiaTheme="majorEastAsia"/>
          <w:b/>
          <w:color w:val="auto"/>
          <w:sz w:val="32"/>
          <w:highlight w:val="none"/>
        </w:rPr>
        <w:t>年</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月</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日</w:t>
      </w:r>
      <w:bookmarkEnd w:id="227"/>
      <w:bookmarkEnd w:id="228"/>
      <w:bookmarkEnd w:id="229"/>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230" w:name="_Toc31643"/>
      <w:bookmarkStart w:id="231" w:name="_Toc5858"/>
      <w:bookmarkStart w:id="232" w:name="_Toc29272"/>
      <w:r>
        <w:rPr>
          <w:rFonts w:hint="eastAsia" w:asciiTheme="majorEastAsia" w:hAnsiTheme="majorEastAsia" w:eastAsiaTheme="majorEastAsia"/>
          <w:b/>
          <w:color w:val="auto"/>
          <w:sz w:val="24"/>
          <w:highlight w:val="none"/>
        </w:rPr>
        <w:t>一、报价表</w:t>
      </w:r>
      <w:bookmarkEnd w:id="230"/>
      <w:bookmarkEnd w:id="231"/>
      <w:bookmarkEnd w:id="232"/>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200" w:firstLineChars="2000"/>
        <w:rPr>
          <w:rFonts w:ascii="宋体" w:hAnsi="宋体" w:eastAsia="宋体"/>
          <w:color w:val="auto"/>
          <w:sz w:val="24"/>
          <w:szCs w:val="24"/>
          <w:highlight w:val="none"/>
          <w:u w:val="single"/>
        </w:rPr>
      </w:pPr>
      <w:r>
        <w:rPr>
          <w:rFonts w:hint="eastAsia"/>
          <w:lang w:val="en-US" w:eastAsia="zh-CN"/>
        </w:rPr>
        <w:t xml:space="preserve"> </w:t>
      </w: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附表：分项报价表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322"/>
        <w:gridCol w:w="1318"/>
        <w:gridCol w:w="1318"/>
        <w:gridCol w:w="672"/>
        <w:gridCol w:w="673"/>
        <w:gridCol w:w="939"/>
        <w:gridCol w:w="939"/>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7"/>
              <w:widowControl w:val="0"/>
              <w:spacing w:before="0" w:beforeAutospacing="0" w:after="0" w:afterAutospacing="0"/>
              <w:rPr>
                <w:rFonts w:asciiTheme="majorEastAsia" w:hAnsiTheme="majorEastAsia" w:eastAsiaTheme="majorEastAsia"/>
                <w:bCs w:val="0"/>
                <w:color w:val="auto"/>
                <w:kern w:val="2"/>
                <w:sz w:val="24"/>
                <w:szCs w:val="24"/>
                <w:highlight w:val="none"/>
              </w:rPr>
            </w:pPr>
            <w:r>
              <w:rPr>
                <w:rFonts w:hint="eastAsia" w:asciiTheme="majorEastAsia" w:hAnsiTheme="majorEastAsia" w:eastAsiaTheme="majorEastAsia"/>
                <w:bCs w:val="0"/>
                <w:color w:val="auto"/>
                <w:kern w:val="2"/>
                <w:sz w:val="24"/>
                <w:szCs w:val="24"/>
                <w:highlight w:val="none"/>
              </w:rPr>
              <w:t>序号</w:t>
            </w:r>
          </w:p>
        </w:tc>
        <w:tc>
          <w:tcPr>
            <w:tcW w:w="776"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货物名称</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品牌、型</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号</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原产地及</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生产厂商</w:t>
            </w:r>
          </w:p>
        </w:tc>
        <w:tc>
          <w:tcPr>
            <w:tcW w:w="394"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单位</w:t>
            </w:r>
          </w:p>
        </w:tc>
        <w:tc>
          <w:tcPr>
            <w:tcW w:w="395"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数量</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单价</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小计</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39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4</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5</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6</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7</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8</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9</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10</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vAlign w:val="center"/>
          </w:tcPr>
          <w:p>
            <w:pPr>
              <w:pStyle w:val="35"/>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其他费用</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pStyle w:val="35"/>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ajorEastAsia" w:hAnsiTheme="majorEastAsia" w:eastAsiaTheme="majorEastAsia"/>
                <w:b/>
                <w:bCs/>
                <w:color w:val="auto"/>
                <w:sz w:val="24"/>
                <w:szCs w:val="24"/>
                <w:highlight w:val="none"/>
              </w:rPr>
            </w:pPr>
            <w:r>
              <w:rPr>
                <w:rFonts w:hint="eastAsia" w:asciiTheme="majorEastAsia" w:hAnsiTheme="majorEastAsia" w:eastAsiaTheme="majorEastAsia"/>
                <w:b/>
                <w:bCs/>
                <w:color w:val="auto"/>
                <w:sz w:val="24"/>
                <w:szCs w:val="24"/>
                <w:highlight w:val="none"/>
              </w:rPr>
              <w:t>合计（元）</w:t>
            </w:r>
          </w:p>
        </w:tc>
        <w:tc>
          <w:tcPr>
            <w:tcW w:w="1102" w:type="pct"/>
            <w:gridSpan w:val="2"/>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bl>
    <w:p>
      <w:pPr>
        <w:spacing w:line="360" w:lineRule="auto"/>
        <w:rPr>
          <w:rFonts w:asciiTheme="majorEastAsia" w:hAnsiTheme="majorEastAsia" w:eastAsiaTheme="majorEastAsia"/>
          <w:bCs/>
          <w:color w:val="auto"/>
          <w:sz w:val="24"/>
          <w:highlight w:val="none"/>
        </w:rPr>
      </w:pPr>
      <w:r>
        <w:rPr>
          <w:rFonts w:hint="eastAsia" w:asciiTheme="majorEastAsia" w:hAnsiTheme="majorEastAsia" w:eastAsiaTheme="majorEastAsia"/>
          <w:bCs/>
          <w:color w:val="auto"/>
          <w:sz w:val="24"/>
          <w:highlight w:val="none"/>
          <w:lang w:eastAsia="zh-CN"/>
        </w:rPr>
        <w:t>供应商电子签章</w:t>
      </w:r>
      <w:r>
        <w:rPr>
          <w:rFonts w:hint="eastAsia" w:asciiTheme="majorEastAsia" w:hAnsiTheme="majorEastAsia" w:eastAsiaTheme="majorEastAsia"/>
          <w:bCs/>
          <w:color w:val="auto"/>
          <w:sz w:val="24"/>
          <w:highlight w:val="none"/>
        </w:rPr>
        <w:t xml:space="preserve">：                       </w:t>
      </w:r>
    </w:p>
    <w:p>
      <w:pPr>
        <w:spacing w:line="360" w:lineRule="auto"/>
        <w:jc w:val="right"/>
        <w:rPr>
          <w:rFonts w:asciiTheme="majorEastAsia" w:hAnsiTheme="majorEastAsia" w:eastAsiaTheme="majorEastAsia"/>
          <w:bCs/>
          <w:color w:val="auto"/>
          <w:sz w:val="24"/>
          <w:highlight w:val="none"/>
        </w:rPr>
      </w:pPr>
      <w:r>
        <w:rPr>
          <w:rFonts w:hint="eastAsia" w:asciiTheme="majorEastAsia" w:hAnsiTheme="majorEastAsia" w:eastAsiaTheme="majorEastAsia"/>
          <w:bCs/>
          <w:color w:val="auto"/>
          <w:sz w:val="24"/>
          <w:highlight w:val="none"/>
        </w:rPr>
        <w:t>年  月  日</w:t>
      </w:r>
    </w:p>
    <w:p>
      <w:pPr>
        <w:spacing w:line="360" w:lineRule="auto"/>
        <w:rPr>
          <w:rFonts w:hint="eastAsia" w:asciiTheme="majorEastAsia" w:hAnsiTheme="majorEastAsia" w:eastAsiaTheme="majorEastAsia"/>
          <w:b/>
          <w:bCs/>
          <w:color w:val="auto"/>
          <w:sz w:val="24"/>
          <w:highlight w:val="none"/>
          <w:lang w:eastAsia="zh-CN"/>
        </w:rPr>
      </w:pPr>
      <w:r>
        <w:rPr>
          <w:rFonts w:hint="eastAsia" w:asciiTheme="majorEastAsia" w:hAnsiTheme="majorEastAsia" w:eastAsiaTheme="majorEastAsia"/>
          <w:b/>
          <w:bCs/>
          <w:color w:val="auto"/>
          <w:sz w:val="24"/>
          <w:highlight w:val="none"/>
          <w:lang w:eastAsia="zh-CN"/>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2.表中须明确列出所投产品的货物名称、品牌、型号规格、原产地及生产厂商，否则可能导致</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233" w:name="_Toc15173"/>
      <w:bookmarkStart w:id="234" w:name="_Toc31237"/>
      <w:bookmarkStart w:id="235" w:name="_Toc9375"/>
      <w:r>
        <w:rPr>
          <w:rFonts w:hint="eastAsia" w:asciiTheme="majorEastAsia" w:hAnsiTheme="majorEastAsia" w:eastAsiaTheme="majorEastAsia"/>
          <w:b/>
          <w:color w:val="auto"/>
          <w:sz w:val="24"/>
          <w:highlight w:val="none"/>
        </w:rPr>
        <w:t>二、最终承诺报价表</w:t>
      </w:r>
      <w:bookmarkEnd w:id="233"/>
      <w:bookmarkEnd w:id="234"/>
      <w:bookmarkEnd w:id="235"/>
    </w:p>
    <w:p>
      <w:pPr>
        <w:spacing w:before="156" w:beforeLines="50" w:after="156" w:afterLines="50" w:line="360" w:lineRule="auto"/>
        <w:ind w:firstLine="236" w:firstLineChars="98"/>
        <w:jc w:val="center"/>
        <w:rPr>
          <w:rFonts w:asciiTheme="majorEastAsia" w:hAnsiTheme="majorEastAsia" w:eastAsiaTheme="majorEastAsia"/>
          <w:b/>
          <w:color w:val="auto"/>
          <w:sz w:val="24"/>
          <w:szCs w:val="28"/>
          <w:highlight w:val="none"/>
        </w:rPr>
      </w:pPr>
      <w:r>
        <w:rPr>
          <w:rFonts w:hint="eastAsia" w:asciiTheme="majorEastAsia" w:hAnsiTheme="majorEastAsia" w:eastAsiaTheme="majorEastAsia"/>
          <w:b/>
          <w:color w:val="auto"/>
          <w:sz w:val="24"/>
          <w:szCs w:val="28"/>
          <w:highlight w:val="none"/>
        </w:rPr>
        <w:t>（某项目第</w:t>
      </w:r>
      <w:r>
        <w:rPr>
          <w:rFonts w:hint="eastAsia" w:asciiTheme="majorEastAsia" w:hAnsiTheme="majorEastAsia" w:eastAsiaTheme="majorEastAsia"/>
          <w:b/>
          <w:color w:val="auto"/>
          <w:sz w:val="24"/>
          <w:szCs w:val="28"/>
          <w:highlight w:val="none"/>
          <w:u w:val="single"/>
        </w:rPr>
        <w:t xml:space="preserve">   </w:t>
      </w:r>
      <w:r>
        <w:rPr>
          <w:rFonts w:hint="eastAsia" w:asciiTheme="majorEastAsia" w:hAnsiTheme="majorEastAsia" w:eastAsiaTheme="maj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供应商名称</w:t>
            </w:r>
          </w:p>
        </w:tc>
        <w:tc>
          <w:tcPr>
            <w:tcW w:w="3557" w:type="pct"/>
            <w:tcBorders>
              <w:left w:val="single" w:color="auto" w:sz="4" w:space="0"/>
            </w:tcBorders>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响应</w:t>
            </w:r>
            <w:r>
              <w:rPr>
                <w:rFonts w:hint="eastAsia" w:asciiTheme="majorEastAsia" w:hAnsiTheme="majorEastAsia" w:eastAsiaTheme="maj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ajorEastAsia" w:hAnsiTheme="majorEastAsia" w:eastAsiaTheme="majorEastAsia"/>
                <w:b/>
                <w:color w:val="auto"/>
                <w:sz w:val="24"/>
                <w:highlight w:val="none"/>
              </w:rPr>
            </w:pPr>
            <w:r>
              <w:rPr>
                <w:rFonts w:hint="eastAsia" w:asciiTheme="majorEastAsia" w:hAnsiTheme="majorEastAsia" w:eastAsiaTheme="majorEastAsia"/>
                <w:color w:val="auto"/>
                <w:sz w:val="24"/>
                <w:szCs w:val="28"/>
                <w:highlight w:val="none"/>
              </w:rPr>
              <w:t>第</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最终报</w:t>
            </w:r>
            <w:r>
              <w:rPr>
                <w:rFonts w:hint="eastAsia" w:asciiTheme="majorEastAsia" w:hAnsiTheme="majorEastAsia" w:eastAsiaTheme="majorEastAsia"/>
                <w:b/>
                <w:color w:val="auto"/>
                <w:sz w:val="24"/>
                <w:highlight w:val="none"/>
              </w:rPr>
              <w:t>价</w:t>
            </w:r>
          </w:p>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（详见备注说明）</w:t>
            </w:r>
          </w:p>
        </w:tc>
        <w:tc>
          <w:tcPr>
            <w:tcW w:w="3557" w:type="pct"/>
            <w:vAlign w:val="center"/>
          </w:tcPr>
          <w:p>
            <w:pPr>
              <w:snapToGrid w:val="0"/>
              <w:spacing w:line="360" w:lineRule="auto"/>
              <w:rPr>
                <w:rFonts w:asciiTheme="majorEastAsia" w:hAnsiTheme="majorEastAsia" w:eastAsiaTheme="majorEastAsia"/>
                <w:color w:val="auto"/>
                <w:sz w:val="24"/>
                <w:szCs w:val="28"/>
                <w:highlight w:val="none"/>
              </w:rPr>
            </w:pPr>
          </w:p>
          <w:p>
            <w:pPr>
              <w:snapToGrid w:val="0"/>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备注说明</w:t>
            </w:r>
          </w:p>
        </w:tc>
        <w:tc>
          <w:tcPr>
            <w:tcW w:w="3557" w:type="pct"/>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采购小组</w:t>
            </w:r>
            <w:r>
              <w:rPr>
                <w:rFonts w:asciiTheme="majorEastAsia" w:hAnsiTheme="majorEastAsia" w:eastAsiaTheme="majorEastAsia"/>
                <w:b/>
                <w:bCs/>
                <w:color w:val="auto"/>
                <w:sz w:val="24"/>
                <w:szCs w:val="28"/>
                <w:highlight w:val="none"/>
              </w:rPr>
              <w:t>签字</w:t>
            </w:r>
          </w:p>
        </w:tc>
        <w:tc>
          <w:tcPr>
            <w:tcW w:w="3557" w:type="pct"/>
          </w:tcPr>
          <w:p>
            <w:pPr>
              <w:spacing w:line="360" w:lineRule="auto"/>
              <w:rPr>
                <w:rFonts w:asciiTheme="majorEastAsia" w:hAnsiTheme="majorEastAsia" w:eastAsiaTheme="majorEastAsia"/>
                <w:b/>
                <w:color w:val="auto"/>
                <w:sz w:val="24"/>
                <w:highlight w:val="none"/>
              </w:rPr>
            </w:pPr>
          </w:p>
        </w:tc>
      </w:tr>
    </w:tbl>
    <w:p>
      <w:pPr>
        <w:spacing w:line="360" w:lineRule="auto"/>
        <w:ind w:firstLine="1680" w:firstLineChars="700"/>
        <w:jc w:val="left"/>
        <w:rPr>
          <w:rFonts w:asciiTheme="majorEastAsia" w:hAnsiTheme="majorEastAsia" w:eastAsiaTheme="majorEastAsia"/>
          <w:bCs/>
          <w:color w:val="auto"/>
          <w:sz w:val="24"/>
          <w:highlight w:val="none"/>
        </w:rPr>
      </w:pPr>
      <w:r>
        <w:rPr>
          <w:rFonts w:hint="eastAsia" w:asciiTheme="majorEastAsia" w:hAnsiTheme="majorEastAsia" w:eastAsiaTheme="majorEastAsia"/>
          <w:color w:val="auto"/>
          <w:sz w:val="24"/>
          <w:highlight w:val="none"/>
        </w:rPr>
        <w:t xml:space="preserve">                          </w:t>
      </w:r>
      <w:r>
        <w:rPr>
          <w:rFonts w:hint="eastAsia" w:asciiTheme="majorEastAsia" w:hAnsiTheme="majorEastAsia" w:eastAsiaTheme="majorEastAsia"/>
          <w:bCs/>
          <w:color w:val="auto"/>
          <w:sz w:val="24"/>
          <w:highlight w:val="none"/>
          <w:lang w:eastAsia="zh-CN"/>
        </w:rPr>
        <w:t>供应商电子签章</w:t>
      </w:r>
      <w:r>
        <w:rPr>
          <w:rFonts w:hint="eastAsia" w:asciiTheme="majorEastAsia" w:hAnsiTheme="majorEastAsia" w:eastAsiaTheme="majorEastAsia"/>
          <w:bCs/>
          <w:color w:val="auto"/>
          <w:sz w:val="24"/>
          <w:highlight w:val="none"/>
        </w:rPr>
        <w:t>或授权代表签字：</w:t>
      </w:r>
    </w:p>
    <w:p>
      <w:pPr>
        <w:spacing w:line="360" w:lineRule="auto"/>
        <w:ind w:firstLine="435"/>
        <w:jc w:val="righ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年  月  日</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236" w:name="_Toc23672"/>
      <w:bookmarkStart w:id="237" w:name="_Toc29429"/>
      <w:bookmarkStart w:id="238" w:name="_Toc5296"/>
      <w:r>
        <w:rPr>
          <w:rFonts w:hint="eastAsia" w:asciiTheme="majorEastAsia" w:hAnsiTheme="majorEastAsia" w:eastAsiaTheme="majorEastAsia"/>
          <w:b/>
          <w:color w:val="auto"/>
          <w:sz w:val="24"/>
          <w:highlight w:val="none"/>
        </w:rPr>
        <w:t>三、响应函</w:t>
      </w:r>
      <w:bookmarkEnd w:id="236"/>
      <w:bookmarkEnd w:id="237"/>
      <w:bookmarkEnd w:id="238"/>
    </w:p>
    <w:p>
      <w:pPr>
        <w:pStyle w:val="10"/>
        <w:spacing w:line="360" w:lineRule="auto"/>
        <w:rPr>
          <w:rFonts w:asciiTheme="majorEastAsia" w:hAnsiTheme="majorEastAsia" w:eastAsiaTheme="majorEastAsia"/>
          <w:color w:val="auto"/>
          <w:sz w:val="24"/>
          <w:highlight w:val="none"/>
        </w:rPr>
      </w:pPr>
    </w:p>
    <w:p>
      <w:pPr>
        <w:spacing w:line="360" w:lineRule="auto"/>
        <w:rPr>
          <w:rFonts w:hint="eastAsia" w:cs="宋体" w:asciiTheme="minorEastAsia" w:hAnsiTheme="minorEastAsia" w:eastAsiaTheme="minorEastAsia"/>
          <w:b/>
          <w:color w:val="auto"/>
          <w:sz w:val="24"/>
          <w:szCs w:val="24"/>
          <w:highlight w:val="none"/>
          <w:lang w:eastAsia="zh-CN"/>
        </w:rPr>
      </w:pPr>
      <w:r>
        <w:rPr>
          <w:rFonts w:hint="eastAsia" w:cs="宋体" w:asciiTheme="minorEastAsia" w:hAnsiTheme="minorEastAsia" w:eastAsiaTheme="minorEastAsia"/>
          <w:b/>
          <w:color w:val="auto"/>
          <w:sz w:val="24"/>
          <w:szCs w:val="24"/>
          <w:highlight w:val="none"/>
        </w:rPr>
        <w:t>致：</w:t>
      </w:r>
      <w:r>
        <w:rPr>
          <w:rFonts w:hint="eastAsia" w:cs="宋体" w:asciiTheme="minorEastAsia" w:hAnsiTheme="minorEastAsia" w:eastAsiaTheme="minorEastAsia"/>
          <w:b/>
          <w:color w:val="auto"/>
          <w:sz w:val="24"/>
          <w:szCs w:val="24"/>
          <w:highlight w:val="none"/>
          <w:u w:val="none"/>
          <w:lang w:eastAsia="zh-CN"/>
        </w:rPr>
        <w:t>采购人</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根据贵方的采购文件，我方兹宣布同意如下：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.我方已详细审核全部采购文件，包括采购文件的澄清或修改（如有），参考资料及有关附件，我方正式认可并遵守本次采购文件，并对采购文件各项条款、规定及要求均无异议。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4</w:t>
      </w:r>
      <w:r>
        <w:rPr>
          <w:rFonts w:hint="eastAsia" w:asciiTheme="majorEastAsia" w:hAnsiTheme="majorEastAsia" w:eastAsiaTheme="maj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ajorEastAsia" w:hAnsiTheme="majorEastAsia" w:eastAsiaTheme="maj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39" w:name="_Toc23671"/>
      <w:bookmarkStart w:id="240" w:name="_Toc4944"/>
      <w:bookmarkStart w:id="241" w:name="_Toc16378"/>
      <w:r>
        <w:rPr>
          <w:rFonts w:hint="eastAsia" w:asciiTheme="majorEastAsia" w:hAnsiTheme="majorEastAsia" w:eastAsiaTheme="majorEastAsia"/>
          <w:b/>
          <w:color w:val="auto"/>
          <w:sz w:val="24"/>
          <w:highlight w:val="none"/>
        </w:rPr>
        <w:t>四、</w:t>
      </w:r>
      <w:bookmarkEnd w:id="239"/>
      <w:r>
        <w:rPr>
          <w:rFonts w:hint="eastAsia" w:asciiTheme="minorEastAsia" w:hAnsiTheme="minorEastAsia" w:eastAsiaTheme="minorEastAsia"/>
          <w:b/>
          <w:color w:val="auto"/>
          <w:sz w:val="24"/>
          <w:highlight w:val="none"/>
          <w:lang w:val="en-US" w:eastAsia="zh-CN"/>
        </w:rPr>
        <w:t>供应商资格声明书</w:t>
      </w:r>
      <w:bookmarkEnd w:id="240"/>
      <w:bookmarkEnd w:id="241"/>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ajorEastAsia" w:hAnsiTheme="majorEastAsia" w:eastAsiaTheme="maj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ajorEastAsia" w:hAnsiTheme="majorEastAsia" w:eastAsiaTheme="majorEastAsia"/>
          <w:color w:val="auto"/>
          <w:sz w:val="24"/>
          <w:highlight w:val="none"/>
          <w:u w:val="single"/>
        </w:rPr>
        <w:br w:type="page"/>
      </w:r>
    </w:p>
    <w:p>
      <w:pPr>
        <w:spacing w:line="360" w:lineRule="auto"/>
        <w:jc w:val="center"/>
        <w:outlineLvl w:val="1"/>
        <w:rPr>
          <w:rFonts w:asciiTheme="majorEastAsia" w:hAnsiTheme="majorEastAsia" w:eastAsiaTheme="majorEastAsia"/>
          <w:b/>
          <w:color w:val="auto"/>
          <w:sz w:val="24"/>
          <w:highlight w:val="none"/>
        </w:rPr>
      </w:pPr>
      <w:bookmarkStart w:id="242" w:name="_Toc31276"/>
      <w:bookmarkStart w:id="243" w:name="_Toc25895"/>
      <w:bookmarkStart w:id="244" w:name="_Toc23318"/>
      <w:r>
        <w:rPr>
          <w:rFonts w:hint="eastAsia" w:asciiTheme="majorEastAsia" w:hAnsiTheme="majorEastAsia" w:eastAsiaTheme="majorEastAsia"/>
          <w:b/>
          <w:color w:val="auto"/>
          <w:sz w:val="24"/>
          <w:highlight w:val="none"/>
        </w:rPr>
        <w:t>五、授权书</w:t>
      </w:r>
      <w:bookmarkEnd w:id="242"/>
      <w:bookmarkEnd w:id="243"/>
      <w:bookmarkEnd w:id="244"/>
    </w:p>
    <w:p>
      <w:pPr>
        <w:pStyle w:val="9"/>
        <w:snapToGrid w:val="0"/>
        <w:spacing w:line="360" w:lineRule="auto"/>
        <w:ind w:firstLine="480" w:firstLineChars="200"/>
        <w:jc w:val="left"/>
        <w:rPr>
          <w:rFonts w:asciiTheme="majorEastAsia" w:hAnsiTheme="majorEastAsia" w:eastAsiaTheme="majorEastAsia"/>
          <w:color w:val="auto"/>
          <w:sz w:val="24"/>
          <w:szCs w:val="28"/>
          <w:highlight w:val="none"/>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w:t>
      </w:r>
      <w:r>
        <w:rPr>
          <w:rFonts w:hint="eastAsia" w:asciiTheme="majorEastAsia" w:hAnsiTheme="majorEastAsia" w:eastAsiaTheme="majorEastAsia"/>
          <w:color w:val="auto"/>
          <w:sz w:val="24"/>
          <w:highlight w:val="none"/>
        </w:rPr>
        <w:t>授权</w:t>
      </w:r>
      <w:r>
        <w:rPr>
          <w:rFonts w:hint="eastAsia" w:asciiTheme="majorEastAsia" w:hAnsiTheme="majorEastAsia" w:eastAsiaTheme="majorEastAsia"/>
          <w:color w:val="auto"/>
          <w:sz w:val="24"/>
          <w:szCs w:val="28"/>
          <w:highlight w:val="none"/>
        </w:rPr>
        <w:t>书声明：</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（供应商名称）授权</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（供应商授权代表姓名）代表我方参加本项目</w:t>
      </w:r>
      <w:r>
        <w:rPr>
          <w:rFonts w:hint="eastAsia" w:asciiTheme="majorEastAsia" w:hAnsiTheme="majorEastAsia" w:eastAsiaTheme="majorEastAsia"/>
          <w:bCs/>
          <w:color w:val="auto"/>
          <w:sz w:val="24"/>
          <w:szCs w:val="28"/>
          <w:highlight w:val="none"/>
        </w:rPr>
        <w:t>采购活动</w:t>
      </w:r>
      <w:r>
        <w:rPr>
          <w:rFonts w:hint="eastAsia" w:asciiTheme="majorEastAsia" w:hAnsiTheme="majorEastAsia" w:eastAsiaTheme="maj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本授权书自出具之日起生效。</w:t>
      </w:r>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szCs w:val="28"/>
          <w:highlight w:val="none"/>
        </w:rPr>
        <w:t>授权</w:t>
      </w:r>
      <w:r>
        <w:rPr>
          <w:rFonts w:hint="eastAsia" w:asciiTheme="majorEastAsia" w:hAnsiTheme="majorEastAsia" w:eastAsiaTheme="majorEastAsia"/>
          <w:color w:val="auto"/>
          <w:sz w:val="24"/>
          <w:highlight w:val="none"/>
        </w:rPr>
        <w:t>代表身份证明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spacing w:line="360" w:lineRule="auto"/>
        <w:ind w:firstLine="435"/>
        <w:rPr>
          <w:rFonts w:asciiTheme="majorEastAsia" w:hAnsiTheme="majorEastAsia" w:eastAsiaTheme="majorEastAsia"/>
          <w:color w:val="auto"/>
          <w:sz w:val="24"/>
          <w:szCs w:val="28"/>
          <w:highlight w:val="none"/>
          <w:u w:val="single"/>
          <w:lang w:val="zh-CN"/>
        </w:rPr>
      </w:pPr>
      <w:r>
        <w:rPr>
          <w:rFonts w:hint="eastAsia" w:asciiTheme="majorEastAsia" w:hAnsiTheme="majorEastAsia" w:eastAsiaTheme="majorEastAsia"/>
          <w:color w:val="auto"/>
          <w:sz w:val="24"/>
          <w:szCs w:val="28"/>
          <w:highlight w:val="none"/>
        </w:rPr>
        <w:t>授权代表联系方式：</w:t>
      </w:r>
      <w:r>
        <w:rPr>
          <w:rFonts w:hint="eastAsia" w:asciiTheme="majorEastAsia" w:hAnsiTheme="majorEastAsia" w:eastAsiaTheme="majorEastAsia"/>
          <w:color w:val="auto"/>
          <w:sz w:val="24"/>
          <w:szCs w:val="28"/>
          <w:highlight w:val="none"/>
          <w:u w:val="single"/>
        </w:rPr>
        <w:t xml:space="preserve">          （请填写手机号码）</w:t>
      </w:r>
    </w:p>
    <w:p>
      <w:pPr>
        <w:spacing w:line="360" w:lineRule="auto"/>
        <w:ind w:firstLine="435"/>
        <w:rPr>
          <w:rFonts w:asciiTheme="majorEastAsia" w:hAnsiTheme="majorEastAsia" w:eastAsiaTheme="majorEastAsia"/>
          <w:color w:val="auto"/>
          <w:sz w:val="24"/>
          <w:szCs w:val="28"/>
          <w:highlight w:val="none"/>
          <w:lang w:val="zh-CN"/>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highlight w:val="none"/>
        </w:rPr>
        <w:t>特此</w:t>
      </w:r>
      <w:r>
        <w:rPr>
          <w:rFonts w:hint="eastAsia" w:asciiTheme="majorEastAsia" w:hAnsiTheme="majorEastAsia" w:eastAsiaTheme="majorEastAsia"/>
          <w:color w:val="auto"/>
          <w:sz w:val="24"/>
          <w:szCs w:val="28"/>
          <w:highlight w:val="none"/>
        </w:rPr>
        <w:t>声明。</w:t>
      </w:r>
    </w:p>
    <w:p>
      <w:pPr>
        <w:spacing w:line="360" w:lineRule="auto"/>
        <w:rPr>
          <w:rFonts w:asciiTheme="majorEastAsia" w:hAnsiTheme="majorEastAsia" w:eastAsiaTheme="maj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ajorEastAsia" w:hAnsiTheme="majorEastAsia" w:eastAsiaTheme="majorEastAsia"/>
          <w:color w:val="auto"/>
          <w:sz w:val="24"/>
          <w:highlight w:val="none"/>
        </w:rPr>
      </w:pPr>
    </w:p>
    <w:p>
      <w:pPr>
        <w:spacing w:line="360" w:lineRule="auto"/>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1.本项目只允许有唯一的供应商授权代表，提供身份证明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2.法定代表人参加协商的无需提供授权书，提供身份证明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245" w:name="_Toc22205"/>
      <w:bookmarkStart w:id="246" w:name="_Toc29055"/>
      <w:bookmarkStart w:id="247" w:name="_Toc17545"/>
      <w:r>
        <w:rPr>
          <w:rFonts w:hint="eastAsia" w:asciiTheme="majorEastAsia" w:hAnsiTheme="majorEastAsia" w:eastAsiaTheme="majorEastAsia"/>
          <w:b/>
          <w:color w:val="auto"/>
          <w:sz w:val="24"/>
          <w:highlight w:val="none"/>
        </w:rPr>
        <w:t>六、响应表</w:t>
      </w:r>
      <w:bookmarkEnd w:id="245"/>
      <w:bookmarkEnd w:id="246"/>
      <w:bookmarkEnd w:id="247"/>
    </w:p>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6.1</w:t>
      </w:r>
      <w:r>
        <w:rPr>
          <w:rFonts w:hint="eastAsia" w:asciiTheme="majorEastAsia" w:hAnsiTheme="majorEastAsia" w:eastAsiaTheme="majorEastAsia"/>
          <w:b/>
          <w:color w:val="auto"/>
          <w:sz w:val="24"/>
          <w:highlight w:val="none"/>
        </w:rPr>
        <w:t>商务响应表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1124" w:type="pct"/>
            <w:vAlign w:val="center"/>
          </w:tcPr>
          <w:p>
            <w:pPr>
              <w:pStyle w:val="9"/>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商务条款</w:t>
            </w:r>
          </w:p>
        </w:tc>
        <w:tc>
          <w:tcPr>
            <w:tcW w:w="1465"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采购文件要求</w:t>
            </w:r>
          </w:p>
        </w:tc>
        <w:tc>
          <w:tcPr>
            <w:tcW w:w="1511"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供应商承诺</w:t>
            </w:r>
          </w:p>
        </w:tc>
        <w:tc>
          <w:tcPr>
            <w:tcW w:w="475"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p>
        </w:tc>
        <w:tc>
          <w:tcPr>
            <w:tcW w:w="1124"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付款方式</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供货及安装地点</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供货及安装期限</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pStyle w:val="35"/>
              <w:jc w:val="center"/>
              <w:rPr>
                <w:rFonts w:asciiTheme="majorEastAsia" w:hAnsiTheme="majorEastAsia" w:eastAsiaTheme="majorEastAsia"/>
                <w:color w:val="auto"/>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免费质保期</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1124" w:type="pct"/>
            <w:vAlign w:val="center"/>
          </w:tcPr>
          <w:p>
            <w:pPr>
              <w:jc w:val="center"/>
              <w:rPr>
                <w:rFonts w:asciiTheme="majorEastAsia" w:hAnsiTheme="majorEastAsia" w:eastAsiaTheme="majorEastAsia"/>
                <w:color w:val="auto"/>
                <w:sz w:val="24"/>
                <w:highlight w:val="none"/>
              </w:rPr>
            </w:pP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bl>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6.2</w:t>
      </w:r>
      <w:r>
        <w:rPr>
          <w:rFonts w:hint="eastAsia" w:asciiTheme="majorEastAsia" w:hAnsiTheme="majorEastAsia" w:eastAsiaTheme="majorEastAsia"/>
          <w:b/>
          <w:color w:val="auto"/>
          <w:sz w:val="24"/>
          <w:highlight w:val="none"/>
        </w:rPr>
        <w:t>技术响应表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915" w:type="pct"/>
            <w:vAlign w:val="center"/>
          </w:tcPr>
          <w:p>
            <w:pPr>
              <w:pStyle w:val="9"/>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货物名称</w:t>
            </w:r>
          </w:p>
        </w:tc>
        <w:tc>
          <w:tcPr>
            <w:tcW w:w="1680"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采购文件规定的技术参数要求</w:t>
            </w:r>
          </w:p>
        </w:tc>
        <w:tc>
          <w:tcPr>
            <w:tcW w:w="1456"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所投产品的品牌、型号及技术参数</w:t>
            </w:r>
          </w:p>
        </w:tc>
        <w:tc>
          <w:tcPr>
            <w:tcW w:w="502" w:type="pct"/>
            <w:vAlign w:val="center"/>
          </w:tcPr>
          <w:p>
            <w:pPr>
              <w:pStyle w:val="9"/>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5"/>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5"/>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bl>
    <w:p>
      <w:pPr>
        <w:pStyle w:val="10"/>
        <w:spacing w:line="360" w:lineRule="auto"/>
        <w:rPr>
          <w:rFonts w:asciiTheme="majorEastAsia" w:hAnsiTheme="majorEastAsia" w:eastAsiaTheme="majorEastAsia"/>
          <w:b w:val="0"/>
          <w:color w:val="auto"/>
          <w:sz w:val="24"/>
          <w:highlight w:val="none"/>
        </w:rPr>
      </w:pPr>
      <w:r>
        <w:rPr>
          <w:rFonts w:asciiTheme="majorEastAsia" w:hAnsiTheme="majorEastAsia" w:eastAsiaTheme="maj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8" w:name="_Toc15549"/>
      <w:bookmarkStart w:id="249" w:name="_Toc25123"/>
      <w:bookmarkStart w:id="250" w:name="_Toc25294"/>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、诚信履约承诺函</w:t>
      </w:r>
      <w:bookmarkEnd w:id="248"/>
      <w:bookmarkEnd w:id="249"/>
      <w:bookmarkEnd w:id="250"/>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eastAsia="zh-CN"/>
        </w:rPr>
        <w:t>供应商电子签章</w:t>
      </w:r>
      <w:r>
        <w:rPr>
          <w:rFonts w:hint="eastAsia" w:asciiTheme="minorEastAsia" w:hAnsiTheme="minorEastAsia" w:eastAsiaTheme="minorEastAsia"/>
          <w:bCs/>
          <w:color w:val="auto"/>
          <w:sz w:val="24"/>
          <w:highlight w:val="none"/>
        </w:rPr>
        <w:t>：</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800" w:firstLineChars="20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ajorEastAsia" w:hAnsiTheme="majorEastAsia" w:eastAsiaTheme="majorEastAsia"/>
          <w:color w:val="auto"/>
          <w:sz w:val="24"/>
          <w:highlight w:val="none"/>
        </w:rPr>
      </w:pPr>
    </w:p>
    <w:p>
      <w:pPr>
        <w:spacing w:line="360" w:lineRule="auto"/>
        <w:jc w:val="center"/>
        <w:outlineLvl w:val="1"/>
        <w:rPr>
          <w:rFonts w:asciiTheme="majorEastAsia" w:hAnsiTheme="majorEastAsia" w:eastAsiaTheme="majorEastAsia"/>
          <w:b/>
          <w:color w:val="auto"/>
          <w:sz w:val="24"/>
          <w:highlight w:val="none"/>
        </w:rPr>
      </w:pPr>
      <w:bookmarkStart w:id="251" w:name="_Toc26749"/>
      <w:bookmarkStart w:id="252" w:name="_Toc26768"/>
      <w:bookmarkStart w:id="253" w:name="_Toc5973"/>
      <w:r>
        <w:rPr>
          <w:rFonts w:hint="eastAsia" w:asciiTheme="majorEastAsia" w:hAnsiTheme="majorEastAsia" w:eastAsiaTheme="majorEastAsia"/>
          <w:b/>
          <w:color w:val="auto"/>
          <w:sz w:val="24"/>
          <w:highlight w:val="none"/>
          <w:lang w:eastAsia="zh-CN"/>
        </w:rPr>
        <w:t>八</w:t>
      </w:r>
      <w:r>
        <w:rPr>
          <w:rFonts w:hint="eastAsia" w:asciiTheme="majorEastAsia" w:hAnsiTheme="majorEastAsia" w:eastAsiaTheme="majorEastAsia"/>
          <w:b/>
          <w:color w:val="auto"/>
          <w:sz w:val="24"/>
          <w:highlight w:val="none"/>
        </w:rPr>
        <w:t>、其他相关证明材料</w:t>
      </w:r>
      <w:bookmarkEnd w:id="251"/>
      <w:bookmarkEnd w:id="252"/>
      <w:bookmarkEnd w:id="253"/>
    </w:p>
    <w:p>
      <w:pPr>
        <w:spacing w:line="360" w:lineRule="auto"/>
        <w:ind w:firstLine="435"/>
        <w:rPr>
          <w:rFonts w:asciiTheme="majorEastAsia" w:hAnsiTheme="majorEastAsia" w:eastAsiaTheme="majorEastAsia"/>
          <w:b/>
          <w:color w:val="auto"/>
          <w:sz w:val="28"/>
          <w:highlight w:val="none"/>
        </w:rPr>
      </w:pPr>
      <w:r>
        <w:rPr>
          <w:rFonts w:hint="eastAsia" w:asciiTheme="majorEastAsia" w:hAnsiTheme="majorEastAsia" w:eastAsiaTheme="majorEastAsia"/>
          <w:color w:val="auto"/>
          <w:sz w:val="24"/>
          <w:highlight w:val="none"/>
        </w:rPr>
        <w:t>提供符合采购需求及协商程序规定的相关证明文件。</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21"/>
        <w:szCs w:val="21"/>
      </w:rPr>
      <w:id w:val="-1000811171"/>
    </w:sdtPr>
    <w:sdtEndPr>
      <w:rPr>
        <w:rFonts w:hint="eastAsia" w:asciiTheme="minorEastAsia" w:hAnsiTheme="minorEastAsia" w:eastAsiaTheme="minorEastAsia" w:cstheme="minorEastAsia"/>
        <w:sz w:val="21"/>
        <w:szCs w:val="21"/>
      </w:rPr>
    </w:sdtEndPr>
    <w:sdtContent>
      <w:sdt>
        <w:sdtPr>
          <w:rPr>
            <w:rFonts w:hint="eastAsia" w:asciiTheme="minorEastAsia" w:hAnsiTheme="minorEastAsia" w:eastAsiaTheme="minorEastAsia" w:cstheme="minorEastAsia"/>
            <w:sz w:val="21"/>
            <w:szCs w:val="21"/>
          </w:rPr>
          <w:id w:val="-1669238322"/>
        </w:sdtPr>
        <w:sdtEndPr>
          <w:rPr>
            <w:rFonts w:hint="eastAsia" w:asciiTheme="minorEastAsia" w:hAnsiTheme="minorEastAsia" w:eastAsiaTheme="minorEastAsia" w:cs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cstheme="minorEastAsia"/>
                <w:sz w:val="21"/>
                <w:szCs w:val="21"/>
              </w:rPr>
              <w:t>第</w:t>
            </w:r>
            <w:r>
              <w:rPr>
                <w:rFonts w:hint="eastAsia" w:asciiTheme="minorEastAsia" w:hAnsiTheme="minorEastAsia" w:eastAsiaTheme="minorEastAsia" w:cstheme="minorEastAsia"/>
                <w:sz w:val="21"/>
                <w:szCs w:val="21"/>
                <w:lang w:val="zh-CN"/>
              </w:rPr>
              <w:t xml:space="preserve"> </w:t>
            </w:r>
            <w:r>
              <w:rPr>
                <w:rFonts w:hint="eastAsia" w:asciiTheme="minorEastAsia" w:hAnsiTheme="minorEastAsia" w:eastAsiaTheme="minorEastAsia" w:cstheme="minorEastAsia"/>
                <w:b/>
                <w:sz w:val="21"/>
                <w:szCs w:val="21"/>
              </w:rPr>
              <w:fldChar w:fldCharType="begin"/>
            </w:r>
            <w:r>
              <w:rPr>
                <w:rFonts w:hint="eastAsia" w:asciiTheme="minorEastAsia" w:hAnsiTheme="minorEastAsia" w:eastAsiaTheme="minorEastAsia" w:cstheme="minorEastAsia"/>
                <w:b/>
                <w:sz w:val="21"/>
                <w:szCs w:val="21"/>
              </w:rPr>
              <w:instrText xml:space="preserve">PAGE</w:instrText>
            </w:r>
            <w:r>
              <w:rPr>
                <w:rFonts w:hint="eastAsia" w:asciiTheme="minorEastAsia" w:hAnsiTheme="minorEastAsia" w:eastAsiaTheme="minorEastAsia" w:cstheme="minorEastAsia"/>
                <w:b/>
                <w:sz w:val="21"/>
                <w:szCs w:val="21"/>
              </w:rPr>
              <w:fldChar w:fldCharType="separate"/>
            </w:r>
            <w:r>
              <w:rPr>
                <w:rFonts w:hint="eastAsia" w:asciiTheme="minorEastAsia" w:hAnsiTheme="minorEastAsia" w:eastAsiaTheme="minorEastAsia" w:cstheme="minorEastAsia"/>
                <w:b/>
                <w:sz w:val="21"/>
                <w:szCs w:val="21"/>
              </w:rPr>
              <w:t>34</w:t>
            </w:r>
            <w:r>
              <w:rPr>
                <w:rFonts w:hint="eastAsia" w:asciiTheme="minorEastAsia" w:hAnsiTheme="minorEastAsia" w:eastAsiaTheme="minorEastAsia" w:cstheme="minorEastAsia"/>
                <w:b/>
                <w:sz w:val="21"/>
                <w:szCs w:val="21"/>
              </w:rPr>
              <w:fldChar w:fldCharType="end"/>
            </w:r>
            <w:r>
              <w:rPr>
                <w:rFonts w:hint="eastAsia" w:asciiTheme="minorEastAsia" w:hAnsiTheme="minorEastAsia" w:eastAsiaTheme="minorEastAsia" w:cstheme="minorEastAsia"/>
                <w:bCs/>
                <w:sz w:val="21"/>
                <w:szCs w:val="21"/>
              </w:rPr>
              <w:t xml:space="preserve"> 页/共 </w:t>
            </w:r>
            <w:r>
              <w:rPr>
                <w:rFonts w:hint="eastAsia" w:asciiTheme="minorEastAsia" w:hAnsiTheme="minorEastAsia" w:eastAsiaTheme="minorEastAsia" w:cstheme="minorEastAsia"/>
                <w:b/>
                <w:sz w:val="21"/>
                <w:szCs w:val="21"/>
              </w:rPr>
              <w:fldChar w:fldCharType="begin"/>
            </w:r>
            <w:r>
              <w:rPr>
                <w:rFonts w:hint="eastAsia" w:asciiTheme="minorEastAsia" w:hAnsiTheme="minorEastAsia" w:eastAsiaTheme="minorEastAsia" w:cstheme="minorEastAsia"/>
                <w:b/>
                <w:sz w:val="21"/>
                <w:szCs w:val="21"/>
              </w:rPr>
              <w:instrText xml:space="preserve"> =</w:instrText>
            </w:r>
            <w:r>
              <w:rPr>
                <w:rFonts w:hint="eastAsia" w:asciiTheme="minorEastAsia" w:hAnsiTheme="minorEastAsia" w:eastAsiaTheme="minorEastAsia" w:cstheme="minorEastAsia"/>
                <w:b/>
                <w:sz w:val="21"/>
                <w:szCs w:val="21"/>
              </w:rPr>
              <w:fldChar w:fldCharType="begin"/>
            </w:r>
            <w:r>
              <w:rPr>
                <w:rFonts w:hint="eastAsia" w:asciiTheme="minorEastAsia" w:hAnsiTheme="minorEastAsia" w:eastAsiaTheme="minorEastAsia" w:cstheme="minorEastAsia"/>
                <w:b/>
                <w:sz w:val="21"/>
                <w:szCs w:val="21"/>
              </w:rPr>
              <w:instrText xml:space="preserve">NUMPAGES</w:instrText>
            </w:r>
            <w:r>
              <w:rPr>
                <w:rFonts w:hint="eastAsia" w:asciiTheme="minorEastAsia" w:hAnsiTheme="minorEastAsia" w:eastAsiaTheme="minorEastAsia" w:cstheme="minorEastAsia"/>
                <w:b/>
                <w:sz w:val="21"/>
                <w:szCs w:val="21"/>
              </w:rPr>
              <w:fldChar w:fldCharType="separate"/>
            </w:r>
            <w:r>
              <w:rPr>
                <w:rFonts w:hint="eastAsia" w:asciiTheme="minorEastAsia" w:hAnsiTheme="minorEastAsia" w:eastAsiaTheme="minorEastAsia" w:cstheme="minorEastAsia"/>
                <w:b/>
                <w:sz w:val="21"/>
                <w:szCs w:val="21"/>
              </w:rPr>
              <w:instrText xml:space="preserve">36</w:instrText>
            </w:r>
            <w:r>
              <w:rPr>
                <w:rFonts w:hint="eastAsia" w:asciiTheme="minorEastAsia" w:hAnsiTheme="minorEastAsia" w:eastAsiaTheme="minorEastAsia" w:cstheme="minorEastAsia"/>
                <w:b/>
                <w:sz w:val="21"/>
                <w:szCs w:val="21"/>
              </w:rPr>
              <w:fldChar w:fldCharType="end"/>
            </w:r>
            <w:r>
              <w:rPr>
                <w:rFonts w:hint="eastAsia" w:asciiTheme="minorEastAsia" w:hAnsiTheme="minorEastAsia" w:eastAsiaTheme="minorEastAsia" w:cstheme="minorEastAsia"/>
                <w:b/>
                <w:sz w:val="21"/>
                <w:szCs w:val="21"/>
              </w:rPr>
              <w:instrText xml:space="preserve">-2 </w:instrText>
            </w:r>
            <w:r>
              <w:rPr>
                <w:rFonts w:hint="eastAsia" w:asciiTheme="minorEastAsia" w:hAnsiTheme="minorEastAsia" w:eastAsiaTheme="minorEastAsia" w:cstheme="minorEastAsia"/>
                <w:b/>
                <w:sz w:val="21"/>
                <w:szCs w:val="21"/>
              </w:rPr>
              <w:fldChar w:fldCharType="separate"/>
            </w:r>
            <w:r>
              <w:rPr>
                <w:rFonts w:hint="eastAsia" w:asciiTheme="minorEastAsia" w:hAnsiTheme="minorEastAsia" w:eastAsiaTheme="minorEastAsia" w:cstheme="minorEastAsia"/>
                <w:b/>
                <w:sz w:val="21"/>
                <w:szCs w:val="21"/>
              </w:rPr>
              <w:t>34</w:t>
            </w:r>
            <w:r>
              <w:rPr>
                <w:rFonts w:hint="eastAsia" w:asciiTheme="minorEastAsia" w:hAnsiTheme="minorEastAsia" w:eastAsiaTheme="minorEastAsia" w:cstheme="minorEastAsia"/>
                <w:b/>
                <w:sz w:val="21"/>
                <w:szCs w:val="21"/>
              </w:rPr>
              <w:fldChar w:fldCharType="end"/>
            </w:r>
            <w:r>
              <w:rPr>
                <w:rFonts w:hint="eastAsia" w:asciiTheme="minorEastAsia" w:hAnsiTheme="minorEastAsia" w:eastAsiaTheme="minorEastAsia" w:cs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1232"/>
    <w:rsid w:val="000049DA"/>
    <w:rsid w:val="000056B7"/>
    <w:rsid w:val="00012A13"/>
    <w:rsid w:val="000131F7"/>
    <w:rsid w:val="00016B6C"/>
    <w:rsid w:val="00020B57"/>
    <w:rsid w:val="000262D6"/>
    <w:rsid w:val="00037DBE"/>
    <w:rsid w:val="00042135"/>
    <w:rsid w:val="00042139"/>
    <w:rsid w:val="00042B14"/>
    <w:rsid w:val="00044C81"/>
    <w:rsid w:val="00044F49"/>
    <w:rsid w:val="000450C3"/>
    <w:rsid w:val="00050A3F"/>
    <w:rsid w:val="000530EC"/>
    <w:rsid w:val="000544DE"/>
    <w:rsid w:val="000562D3"/>
    <w:rsid w:val="000648D2"/>
    <w:rsid w:val="00070E0E"/>
    <w:rsid w:val="00076DB7"/>
    <w:rsid w:val="0007702B"/>
    <w:rsid w:val="00080FEB"/>
    <w:rsid w:val="00085A2A"/>
    <w:rsid w:val="00094D41"/>
    <w:rsid w:val="00097CB9"/>
    <w:rsid w:val="000A48B7"/>
    <w:rsid w:val="000A6345"/>
    <w:rsid w:val="000A6693"/>
    <w:rsid w:val="000A6B73"/>
    <w:rsid w:val="000A7D94"/>
    <w:rsid w:val="000B1511"/>
    <w:rsid w:val="000B54F4"/>
    <w:rsid w:val="000C1DB1"/>
    <w:rsid w:val="000C4D45"/>
    <w:rsid w:val="000D3F37"/>
    <w:rsid w:val="000E3C74"/>
    <w:rsid w:val="000E3F9B"/>
    <w:rsid w:val="000E6689"/>
    <w:rsid w:val="000F172B"/>
    <w:rsid w:val="000F2198"/>
    <w:rsid w:val="000F2B57"/>
    <w:rsid w:val="000F39B6"/>
    <w:rsid w:val="000F6B7B"/>
    <w:rsid w:val="00100B0F"/>
    <w:rsid w:val="0010187C"/>
    <w:rsid w:val="001037E3"/>
    <w:rsid w:val="00105456"/>
    <w:rsid w:val="00110346"/>
    <w:rsid w:val="00116A70"/>
    <w:rsid w:val="0012143A"/>
    <w:rsid w:val="001222C6"/>
    <w:rsid w:val="00122F5A"/>
    <w:rsid w:val="00136D80"/>
    <w:rsid w:val="00137C7C"/>
    <w:rsid w:val="00140687"/>
    <w:rsid w:val="00146421"/>
    <w:rsid w:val="001479CF"/>
    <w:rsid w:val="00155F64"/>
    <w:rsid w:val="00157856"/>
    <w:rsid w:val="00160729"/>
    <w:rsid w:val="00166ED8"/>
    <w:rsid w:val="001714C9"/>
    <w:rsid w:val="0018119B"/>
    <w:rsid w:val="001844AB"/>
    <w:rsid w:val="0018614D"/>
    <w:rsid w:val="001944B8"/>
    <w:rsid w:val="00196DA3"/>
    <w:rsid w:val="00197AC4"/>
    <w:rsid w:val="001A5D34"/>
    <w:rsid w:val="001A68E5"/>
    <w:rsid w:val="001B2A54"/>
    <w:rsid w:val="001B5014"/>
    <w:rsid w:val="001B7327"/>
    <w:rsid w:val="001C67F2"/>
    <w:rsid w:val="001D53B4"/>
    <w:rsid w:val="001F28D2"/>
    <w:rsid w:val="001F2F45"/>
    <w:rsid w:val="001F3023"/>
    <w:rsid w:val="001F35F6"/>
    <w:rsid w:val="001F74CA"/>
    <w:rsid w:val="002003B6"/>
    <w:rsid w:val="002049B4"/>
    <w:rsid w:val="0020520B"/>
    <w:rsid w:val="00213C55"/>
    <w:rsid w:val="002178B1"/>
    <w:rsid w:val="00223CF4"/>
    <w:rsid w:val="00224C4A"/>
    <w:rsid w:val="00232CCB"/>
    <w:rsid w:val="0023407E"/>
    <w:rsid w:val="00240B40"/>
    <w:rsid w:val="002440D8"/>
    <w:rsid w:val="00244182"/>
    <w:rsid w:val="00260B94"/>
    <w:rsid w:val="00264F2E"/>
    <w:rsid w:val="00271245"/>
    <w:rsid w:val="00274A9E"/>
    <w:rsid w:val="00276292"/>
    <w:rsid w:val="00276BA1"/>
    <w:rsid w:val="00277094"/>
    <w:rsid w:val="002857D8"/>
    <w:rsid w:val="002A1A1D"/>
    <w:rsid w:val="002A28AD"/>
    <w:rsid w:val="002A3AEE"/>
    <w:rsid w:val="002A7291"/>
    <w:rsid w:val="002B5318"/>
    <w:rsid w:val="002B6D27"/>
    <w:rsid w:val="002D2965"/>
    <w:rsid w:val="002D3D02"/>
    <w:rsid w:val="002D4A11"/>
    <w:rsid w:val="002D4CB5"/>
    <w:rsid w:val="002D684B"/>
    <w:rsid w:val="002E3B26"/>
    <w:rsid w:val="002E4AB8"/>
    <w:rsid w:val="00301ABA"/>
    <w:rsid w:val="00310070"/>
    <w:rsid w:val="003110EC"/>
    <w:rsid w:val="00327C92"/>
    <w:rsid w:val="00333292"/>
    <w:rsid w:val="003344E7"/>
    <w:rsid w:val="0033580B"/>
    <w:rsid w:val="003365E7"/>
    <w:rsid w:val="003378D5"/>
    <w:rsid w:val="003473D7"/>
    <w:rsid w:val="00351AC8"/>
    <w:rsid w:val="003528B7"/>
    <w:rsid w:val="00353075"/>
    <w:rsid w:val="00363E02"/>
    <w:rsid w:val="00373A96"/>
    <w:rsid w:val="003826C2"/>
    <w:rsid w:val="00383728"/>
    <w:rsid w:val="00390A5C"/>
    <w:rsid w:val="00391586"/>
    <w:rsid w:val="00394128"/>
    <w:rsid w:val="003947A4"/>
    <w:rsid w:val="00395235"/>
    <w:rsid w:val="0039561A"/>
    <w:rsid w:val="00397C7D"/>
    <w:rsid w:val="003A004F"/>
    <w:rsid w:val="003A77AA"/>
    <w:rsid w:val="003B4130"/>
    <w:rsid w:val="003B4F4D"/>
    <w:rsid w:val="003B67D3"/>
    <w:rsid w:val="003B6B17"/>
    <w:rsid w:val="003B715B"/>
    <w:rsid w:val="003C17CF"/>
    <w:rsid w:val="003D1D14"/>
    <w:rsid w:val="003D6C7C"/>
    <w:rsid w:val="003D6EFB"/>
    <w:rsid w:val="003D7E52"/>
    <w:rsid w:val="003E25C6"/>
    <w:rsid w:val="003E5F2D"/>
    <w:rsid w:val="003F145B"/>
    <w:rsid w:val="004011AA"/>
    <w:rsid w:val="0040202C"/>
    <w:rsid w:val="00406508"/>
    <w:rsid w:val="00406979"/>
    <w:rsid w:val="00412BC0"/>
    <w:rsid w:val="004130AE"/>
    <w:rsid w:val="0041456E"/>
    <w:rsid w:val="00414F7E"/>
    <w:rsid w:val="004164F8"/>
    <w:rsid w:val="00420B7F"/>
    <w:rsid w:val="0042532A"/>
    <w:rsid w:val="00425A2D"/>
    <w:rsid w:val="004427B7"/>
    <w:rsid w:val="0044349F"/>
    <w:rsid w:val="00445F1F"/>
    <w:rsid w:val="00451F60"/>
    <w:rsid w:val="00452BB2"/>
    <w:rsid w:val="0045656D"/>
    <w:rsid w:val="00462D98"/>
    <w:rsid w:val="00472A44"/>
    <w:rsid w:val="00473A89"/>
    <w:rsid w:val="0047515A"/>
    <w:rsid w:val="00475899"/>
    <w:rsid w:val="004821A4"/>
    <w:rsid w:val="00482C78"/>
    <w:rsid w:val="004874AE"/>
    <w:rsid w:val="00493D4A"/>
    <w:rsid w:val="00494D24"/>
    <w:rsid w:val="004951D1"/>
    <w:rsid w:val="004A27D0"/>
    <w:rsid w:val="004A43F9"/>
    <w:rsid w:val="004A4D67"/>
    <w:rsid w:val="004B4A21"/>
    <w:rsid w:val="004D3D4B"/>
    <w:rsid w:val="004D5498"/>
    <w:rsid w:val="004D66A5"/>
    <w:rsid w:val="004D6B00"/>
    <w:rsid w:val="004E1D50"/>
    <w:rsid w:val="004E1DF5"/>
    <w:rsid w:val="004E24EF"/>
    <w:rsid w:val="004F0396"/>
    <w:rsid w:val="00501382"/>
    <w:rsid w:val="00510798"/>
    <w:rsid w:val="00524A11"/>
    <w:rsid w:val="00527768"/>
    <w:rsid w:val="00527C23"/>
    <w:rsid w:val="005327FB"/>
    <w:rsid w:val="00533FCA"/>
    <w:rsid w:val="00546D49"/>
    <w:rsid w:val="005616B5"/>
    <w:rsid w:val="00597B15"/>
    <w:rsid w:val="005A044C"/>
    <w:rsid w:val="005B2DAC"/>
    <w:rsid w:val="005B5C95"/>
    <w:rsid w:val="005C5366"/>
    <w:rsid w:val="005D0200"/>
    <w:rsid w:val="005D44EF"/>
    <w:rsid w:val="005D4814"/>
    <w:rsid w:val="005D5112"/>
    <w:rsid w:val="005E52B7"/>
    <w:rsid w:val="005F3914"/>
    <w:rsid w:val="005F3B5A"/>
    <w:rsid w:val="005F6AB4"/>
    <w:rsid w:val="005F6BB6"/>
    <w:rsid w:val="00610A66"/>
    <w:rsid w:val="00611533"/>
    <w:rsid w:val="00613177"/>
    <w:rsid w:val="00613F7C"/>
    <w:rsid w:val="00614BF2"/>
    <w:rsid w:val="00623DE2"/>
    <w:rsid w:val="00627601"/>
    <w:rsid w:val="006300D0"/>
    <w:rsid w:val="00632012"/>
    <w:rsid w:val="00633D24"/>
    <w:rsid w:val="00634694"/>
    <w:rsid w:val="00636517"/>
    <w:rsid w:val="00637690"/>
    <w:rsid w:val="00640E1E"/>
    <w:rsid w:val="0064389A"/>
    <w:rsid w:val="00645442"/>
    <w:rsid w:val="006525CD"/>
    <w:rsid w:val="00653F7F"/>
    <w:rsid w:val="00662EE8"/>
    <w:rsid w:val="00663813"/>
    <w:rsid w:val="00663C3B"/>
    <w:rsid w:val="00664804"/>
    <w:rsid w:val="00664AFD"/>
    <w:rsid w:val="00667567"/>
    <w:rsid w:val="0067391A"/>
    <w:rsid w:val="00674173"/>
    <w:rsid w:val="0067535A"/>
    <w:rsid w:val="00683CA0"/>
    <w:rsid w:val="00690DB1"/>
    <w:rsid w:val="00693404"/>
    <w:rsid w:val="006953D9"/>
    <w:rsid w:val="006B1242"/>
    <w:rsid w:val="006B1DBC"/>
    <w:rsid w:val="006B5263"/>
    <w:rsid w:val="006B63B7"/>
    <w:rsid w:val="006B7D9A"/>
    <w:rsid w:val="006C06D9"/>
    <w:rsid w:val="006C135D"/>
    <w:rsid w:val="006C5716"/>
    <w:rsid w:val="006C74A9"/>
    <w:rsid w:val="006D07DE"/>
    <w:rsid w:val="006E06D9"/>
    <w:rsid w:val="006E1D40"/>
    <w:rsid w:val="006E2E1F"/>
    <w:rsid w:val="006E5FCA"/>
    <w:rsid w:val="006F5FFF"/>
    <w:rsid w:val="006F6E33"/>
    <w:rsid w:val="006F7AF3"/>
    <w:rsid w:val="00707B8C"/>
    <w:rsid w:val="0071001D"/>
    <w:rsid w:val="00710804"/>
    <w:rsid w:val="00711FC6"/>
    <w:rsid w:val="007130B1"/>
    <w:rsid w:val="00715071"/>
    <w:rsid w:val="007158F8"/>
    <w:rsid w:val="00721D6E"/>
    <w:rsid w:val="007231E9"/>
    <w:rsid w:val="00727C59"/>
    <w:rsid w:val="00734E5D"/>
    <w:rsid w:val="00736013"/>
    <w:rsid w:val="00737661"/>
    <w:rsid w:val="007536AB"/>
    <w:rsid w:val="00755D75"/>
    <w:rsid w:val="00756245"/>
    <w:rsid w:val="00761662"/>
    <w:rsid w:val="00764043"/>
    <w:rsid w:val="007757CF"/>
    <w:rsid w:val="007774C1"/>
    <w:rsid w:val="0078128F"/>
    <w:rsid w:val="0078683C"/>
    <w:rsid w:val="00790EDB"/>
    <w:rsid w:val="00791538"/>
    <w:rsid w:val="0079326E"/>
    <w:rsid w:val="00796EDE"/>
    <w:rsid w:val="007A175B"/>
    <w:rsid w:val="007A4F93"/>
    <w:rsid w:val="007A5A58"/>
    <w:rsid w:val="007A6740"/>
    <w:rsid w:val="007B1C56"/>
    <w:rsid w:val="007B4996"/>
    <w:rsid w:val="007B7A2D"/>
    <w:rsid w:val="007C2706"/>
    <w:rsid w:val="007C3CD5"/>
    <w:rsid w:val="007C61EF"/>
    <w:rsid w:val="007D1C0D"/>
    <w:rsid w:val="007D2D23"/>
    <w:rsid w:val="007E27D6"/>
    <w:rsid w:val="007E3921"/>
    <w:rsid w:val="007F1F4B"/>
    <w:rsid w:val="007F6A8B"/>
    <w:rsid w:val="00801028"/>
    <w:rsid w:val="00803793"/>
    <w:rsid w:val="00804E36"/>
    <w:rsid w:val="008149FD"/>
    <w:rsid w:val="00817A01"/>
    <w:rsid w:val="00825E35"/>
    <w:rsid w:val="008334F8"/>
    <w:rsid w:val="008341AA"/>
    <w:rsid w:val="008543A1"/>
    <w:rsid w:val="0087233E"/>
    <w:rsid w:val="00876659"/>
    <w:rsid w:val="0087734C"/>
    <w:rsid w:val="00882141"/>
    <w:rsid w:val="00884341"/>
    <w:rsid w:val="008922A8"/>
    <w:rsid w:val="00895BD5"/>
    <w:rsid w:val="008A16C4"/>
    <w:rsid w:val="008A2239"/>
    <w:rsid w:val="008A6FED"/>
    <w:rsid w:val="008A7A94"/>
    <w:rsid w:val="008B0D13"/>
    <w:rsid w:val="008B2D70"/>
    <w:rsid w:val="008B39C5"/>
    <w:rsid w:val="008B51AA"/>
    <w:rsid w:val="008C67F2"/>
    <w:rsid w:val="008D064A"/>
    <w:rsid w:val="008D2B0F"/>
    <w:rsid w:val="008D476F"/>
    <w:rsid w:val="008E449E"/>
    <w:rsid w:val="008E5E29"/>
    <w:rsid w:val="008F187F"/>
    <w:rsid w:val="008F402F"/>
    <w:rsid w:val="008F596E"/>
    <w:rsid w:val="008F76E8"/>
    <w:rsid w:val="008F7CD0"/>
    <w:rsid w:val="009078A1"/>
    <w:rsid w:val="00911E9C"/>
    <w:rsid w:val="00917405"/>
    <w:rsid w:val="00917D6E"/>
    <w:rsid w:val="00920F7C"/>
    <w:rsid w:val="009261FD"/>
    <w:rsid w:val="00934CAE"/>
    <w:rsid w:val="00941A3E"/>
    <w:rsid w:val="0094257D"/>
    <w:rsid w:val="0095467C"/>
    <w:rsid w:val="00954A61"/>
    <w:rsid w:val="00955C6F"/>
    <w:rsid w:val="00966C7B"/>
    <w:rsid w:val="009701DC"/>
    <w:rsid w:val="009715D8"/>
    <w:rsid w:val="00981F33"/>
    <w:rsid w:val="009836C2"/>
    <w:rsid w:val="00985C4B"/>
    <w:rsid w:val="00987D4C"/>
    <w:rsid w:val="00995BF9"/>
    <w:rsid w:val="009A097A"/>
    <w:rsid w:val="009A0CAF"/>
    <w:rsid w:val="009A1474"/>
    <w:rsid w:val="009A2207"/>
    <w:rsid w:val="009B6C42"/>
    <w:rsid w:val="009C2206"/>
    <w:rsid w:val="009C7A2C"/>
    <w:rsid w:val="009D31F7"/>
    <w:rsid w:val="009D32C2"/>
    <w:rsid w:val="009D50DB"/>
    <w:rsid w:val="009E1F61"/>
    <w:rsid w:val="009E3A0A"/>
    <w:rsid w:val="009F3E91"/>
    <w:rsid w:val="00A1168D"/>
    <w:rsid w:val="00A1499B"/>
    <w:rsid w:val="00A16EED"/>
    <w:rsid w:val="00A209D2"/>
    <w:rsid w:val="00A314C2"/>
    <w:rsid w:val="00A54BCE"/>
    <w:rsid w:val="00A56EA2"/>
    <w:rsid w:val="00A63E86"/>
    <w:rsid w:val="00A65A1C"/>
    <w:rsid w:val="00A757C3"/>
    <w:rsid w:val="00A75E5B"/>
    <w:rsid w:val="00A7684A"/>
    <w:rsid w:val="00A7771B"/>
    <w:rsid w:val="00A83B69"/>
    <w:rsid w:val="00A86533"/>
    <w:rsid w:val="00A91CA2"/>
    <w:rsid w:val="00A92FB8"/>
    <w:rsid w:val="00A948F1"/>
    <w:rsid w:val="00A976A8"/>
    <w:rsid w:val="00AA1D1D"/>
    <w:rsid w:val="00AA1D7D"/>
    <w:rsid w:val="00AB139D"/>
    <w:rsid w:val="00AB3EFB"/>
    <w:rsid w:val="00AC0B05"/>
    <w:rsid w:val="00AD079A"/>
    <w:rsid w:val="00AD1890"/>
    <w:rsid w:val="00AE2149"/>
    <w:rsid w:val="00AE33AE"/>
    <w:rsid w:val="00AE3785"/>
    <w:rsid w:val="00AE3F91"/>
    <w:rsid w:val="00AE452F"/>
    <w:rsid w:val="00AE76E6"/>
    <w:rsid w:val="00AF418A"/>
    <w:rsid w:val="00B039E3"/>
    <w:rsid w:val="00B22838"/>
    <w:rsid w:val="00B243A5"/>
    <w:rsid w:val="00B33E95"/>
    <w:rsid w:val="00B3720B"/>
    <w:rsid w:val="00B53F35"/>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6BA"/>
    <w:rsid w:val="00BC2CF1"/>
    <w:rsid w:val="00BC35F8"/>
    <w:rsid w:val="00BC6FF5"/>
    <w:rsid w:val="00BE104E"/>
    <w:rsid w:val="00BE18C5"/>
    <w:rsid w:val="00BF376F"/>
    <w:rsid w:val="00BF46A6"/>
    <w:rsid w:val="00C06545"/>
    <w:rsid w:val="00C1161C"/>
    <w:rsid w:val="00C1244B"/>
    <w:rsid w:val="00C156DB"/>
    <w:rsid w:val="00C220FC"/>
    <w:rsid w:val="00C24DFA"/>
    <w:rsid w:val="00C31690"/>
    <w:rsid w:val="00C40D07"/>
    <w:rsid w:val="00C44FB9"/>
    <w:rsid w:val="00C46A36"/>
    <w:rsid w:val="00C47037"/>
    <w:rsid w:val="00C53625"/>
    <w:rsid w:val="00C602C1"/>
    <w:rsid w:val="00C63FC0"/>
    <w:rsid w:val="00C66392"/>
    <w:rsid w:val="00C7451E"/>
    <w:rsid w:val="00C74C5E"/>
    <w:rsid w:val="00C827A2"/>
    <w:rsid w:val="00C82B69"/>
    <w:rsid w:val="00C91B28"/>
    <w:rsid w:val="00C91F3A"/>
    <w:rsid w:val="00CB439E"/>
    <w:rsid w:val="00CB5797"/>
    <w:rsid w:val="00CC1202"/>
    <w:rsid w:val="00CD09E1"/>
    <w:rsid w:val="00CD6202"/>
    <w:rsid w:val="00CD6A61"/>
    <w:rsid w:val="00CE124E"/>
    <w:rsid w:val="00CE4913"/>
    <w:rsid w:val="00CE4AC0"/>
    <w:rsid w:val="00CE66BD"/>
    <w:rsid w:val="00CE6E5D"/>
    <w:rsid w:val="00CF0671"/>
    <w:rsid w:val="00CF44AD"/>
    <w:rsid w:val="00CF4FC0"/>
    <w:rsid w:val="00D030F2"/>
    <w:rsid w:val="00D07FF2"/>
    <w:rsid w:val="00D1072F"/>
    <w:rsid w:val="00D108A5"/>
    <w:rsid w:val="00D14585"/>
    <w:rsid w:val="00D20AF2"/>
    <w:rsid w:val="00D20EFF"/>
    <w:rsid w:val="00D25ABC"/>
    <w:rsid w:val="00D34F0D"/>
    <w:rsid w:val="00D3516E"/>
    <w:rsid w:val="00D4064C"/>
    <w:rsid w:val="00D5079B"/>
    <w:rsid w:val="00D53ED8"/>
    <w:rsid w:val="00D60825"/>
    <w:rsid w:val="00D64857"/>
    <w:rsid w:val="00D6493A"/>
    <w:rsid w:val="00D67875"/>
    <w:rsid w:val="00D71E86"/>
    <w:rsid w:val="00D731C6"/>
    <w:rsid w:val="00D745C5"/>
    <w:rsid w:val="00D75327"/>
    <w:rsid w:val="00D80C36"/>
    <w:rsid w:val="00D840F0"/>
    <w:rsid w:val="00D86779"/>
    <w:rsid w:val="00D86EE1"/>
    <w:rsid w:val="00D96126"/>
    <w:rsid w:val="00D97441"/>
    <w:rsid w:val="00DA7B6C"/>
    <w:rsid w:val="00DB4B1C"/>
    <w:rsid w:val="00DB5085"/>
    <w:rsid w:val="00DC0F80"/>
    <w:rsid w:val="00DC1062"/>
    <w:rsid w:val="00DC132C"/>
    <w:rsid w:val="00DD43F0"/>
    <w:rsid w:val="00DD44DE"/>
    <w:rsid w:val="00DE09AB"/>
    <w:rsid w:val="00DE4A3F"/>
    <w:rsid w:val="00DF4367"/>
    <w:rsid w:val="00E0574A"/>
    <w:rsid w:val="00E07114"/>
    <w:rsid w:val="00E1243D"/>
    <w:rsid w:val="00E12742"/>
    <w:rsid w:val="00E146D4"/>
    <w:rsid w:val="00E20976"/>
    <w:rsid w:val="00E211B4"/>
    <w:rsid w:val="00E22B44"/>
    <w:rsid w:val="00E30ACD"/>
    <w:rsid w:val="00E32735"/>
    <w:rsid w:val="00E644A7"/>
    <w:rsid w:val="00E66E36"/>
    <w:rsid w:val="00E702ED"/>
    <w:rsid w:val="00E709A4"/>
    <w:rsid w:val="00E722AA"/>
    <w:rsid w:val="00E73822"/>
    <w:rsid w:val="00E75079"/>
    <w:rsid w:val="00E76E7F"/>
    <w:rsid w:val="00E772DB"/>
    <w:rsid w:val="00E86012"/>
    <w:rsid w:val="00E86BAB"/>
    <w:rsid w:val="00E94E10"/>
    <w:rsid w:val="00E96743"/>
    <w:rsid w:val="00E96A42"/>
    <w:rsid w:val="00EA0A36"/>
    <w:rsid w:val="00EA49C5"/>
    <w:rsid w:val="00EB5027"/>
    <w:rsid w:val="00EC1836"/>
    <w:rsid w:val="00EC3990"/>
    <w:rsid w:val="00EC484B"/>
    <w:rsid w:val="00ED15FA"/>
    <w:rsid w:val="00EE054A"/>
    <w:rsid w:val="00EE6E9A"/>
    <w:rsid w:val="00EF0BF1"/>
    <w:rsid w:val="00EF2AC4"/>
    <w:rsid w:val="00EF397E"/>
    <w:rsid w:val="00EF4174"/>
    <w:rsid w:val="00EF4C0E"/>
    <w:rsid w:val="00F06F68"/>
    <w:rsid w:val="00F13218"/>
    <w:rsid w:val="00F13553"/>
    <w:rsid w:val="00F1713B"/>
    <w:rsid w:val="00F24C2D"/>
    <w:rsid w:val="00F26F54"/>
    <w:rsid w:val="00F27356"/>
    <w:rsid w:val="00F32A81"/>
    <w:rsid w:val="00F404D7"/>
    <w:rsid w:val="00F46998"/>
    <w:rsid w:val="00F47100"/>
    <w:rsid w:val="00F5382D"/>
    <w:rsid w:val="00F53D9C"/>
    <w:rsid w:val="00F5462B"/>
    <w:rsid w:val="00F634AD"/>
    <w:rsid w:val="00F63677"/>
    <w:rsid w:val="00F75B81"/>
    <w:rsid w:val="00F804C4"/>
    <w:rsid w:val="00F82F83"/>
    <w:rsid w:val="00F832E5"/>
    <w:rsid w:val="00F90F40"/>
    <w:rsid w:val="00F92B30"/>
    <w:rsid w:val="00F933B9"/>
    <w:rsid w:val="00F94674"/>
    <w:rsid w:val="00F94919"/>
    <w:rsid w:val="00F94A59"/>
    <w:rsid w:val="00FA25B6"/>
    <w:rsid w:val="00FA2FAF"/>
    <w:rsid w:val="00FA64B1"/>
    <w:rsid w:val="00FA70F3"/>
    <w:rsid w:val="00FA71CD"/>
    <w:rsid w:val="00FB0453"/>
    <w:rsid w:val="00FB0C07"/>
    <w:rsid w:val="00FB298D"/>
    <w:rsid w:val="00FB57E2"/>
    <w:rsid w:val="00FC1439"/>
    <w:rsid w:val="00FC724B"/>
    <w:rsid w:val="00FC7910"/>
    <w:rsid w:val="00FD1CEB"/>
    <w:rsid w:val="00FF0DA7"/>
    <w:rsid w:val="00FF0F8F"/>
    <w:rsid w:val="00FF44E0"/>
    <w:rsid w:val="00FF6C72"/>
    <w:rsid w:val="04EE434A"/>
    <w:rsid w:val="04F32F7A"/>
    <w:rsid w:val="061151A5"/>
    <w:rsid w:val="070902FB"/>
    <w:rsid w:val="099379DF"/>
    <w:rsid w:val="0A763585"/>
    <w:rsid w:val="0C304FA9"/>
    <w:rsid w:val="0F765D09"/>
    <w:rsid w:val="12363A98"/>
    <w:rsid w:val="12E43214"/>
    <w:rsid w:val="152017FA"/>
    <w:rsid w:val="15F57C29"/>
    <w:rsid w:val="1F923FFE"/>
    <w:rsid w:val="20157800"/>
    <w:rsid w:val="25712AE8"/>
    <w:rsid w:val="2CC10283"/>
    <w:rsid w:val="2F817EB8"/>
    <w:rsid w:val="30273697"/>
    <w:rsid w:val="30E607BB"/>
    <w:rsid w:val="32535382"/>
    <w:rsid w:val="33DF0799"/>
    <w:rsid w:val="379E1BAA"/>
    <w:rsid w:val="38CD7C3F"/>
    <w:rsid w:val="397B71A6"/>
    <w:rsid w:val="3B413798"/>
    <w:rsid w:val="3F1542DE"/>
    <w:rsid w:val="41916892"/>
    <w:rsid w:val="43593E0A"/>
    <w:rsid w:val="47C1134F"/>
    <w:rsid w:val="49A85EBB"/>
    <w:rsid w:val="4C043915"/>
    <w:rsid w:val="4C81278E"/>
    <w:rsid w:val="51367738"/>
    <w:rsid w:val="51AF359D"/>
    <w:rsid w:val="5419364D"/>
    <w:rsid w:val="56155D6C"/>
    <w:rsid w:val="56AB0B37"/>
    <w:rsid w:val="570C37DC"/>
    <w:rsid w:val="59260BAB"/>
    <w:rsid w:val="59A17544"/>
    <w:rsid w:val="5A487267"/>
    <w:rsid w:val="5A984E28"/>
    <w:rsid w:val="5ACE5F1A"/>
    <w:rsid w:val="5FF123D7"/>
    <w:rsid w:val="610C53E7"/>
    <w:rsid w:val="62481D9F"/>
    <w:rsid w:val="64C272E4"/>
    <w:rsid w:val="66821D58"/>
    <w:rsid w:val="67BF1756"/>
    <w:rsid w:val="6A772FD7"/>
    <w:rsid w:val="6ADC6610"/>
    <w:rsid w:val="6B541F0E"/>
    <w:rsid w:val="6DC64E93"/>
    <w:rsid w:val="714A5152"/>
    <w:rsid w:val="724A3E33"/>
    <w:rsid w:val="74F02341"/>
    <w:rsid w:val="75103989"/>
    <w:rsid w:val="76653004"/>
    <w:rsid w:val="767B25C8"/>
    <w:rsid w:val="78BA41E3"/>
    <w:rsid w:val="7A5A29D3"/>
    <w:rsid w:val="7DE67E70"/>
    <w:rsid w:val="7E123D58"/>
    <w:rsid w:val="7FDF6536"/>
    <w:rsid w:val="7FF06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3"/>
    <w:qFormat/>
    <w:uiPriority w:val="9"/>
    <w:pPr>
      <w:keepNext/>
      <w:keepLines/>
      <w:spacing w:before="340" w:after="330" w:line="578" w:lineRule="auto"/>
      <w:outlineLvl w:val="0"/>
    </w:pPr>
    <w:rPr>
      <w:b/>
      <w:bCs/>
      <w:kern w:val="44"/>
      <w:sz w:val="44"/>
      <w:szCs w:val="44"/>
    </w:rPr>
  </w:style>
  <w:style w:type="paragraph" w:styleId="4">
    <w:name w:val="heading 3"/>
    <w:basedOn w:val="1"/>
    <w:next w:val="1"/>
    <w:link w:val="45"/>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0"/>
    <w:qFormat/>
    <w:uiPriority w:val="0"/>
    <w:pPr>
      <w:keepNext/>
      <w:keepLines/>
      <w:spacing w:before="280" w:after="290" w:line="376" w:lineRule="auto"/>
      <w:outlineLvl w:val="3"/>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6">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42"/>
    <w:qFormat/>
    <w:uiPriority w:val="0"/>
    <w:pPr>
      <w:jc w:val="left"/>
    </w:pPr>
    <w:rPr>
      <w:rFonts w:ascii="Arial" w:hAnsi="Arial" w:eastAsia="黑体" w:cs="Arial"/>
    </w:rPr>
  </w:style>
  <w:style w:type="paragraph" w:styleId="8">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31"/>
    <w:qFormat/>
    <w:uiPriority w:val="0"/>
    <w:rPr>
      <w:rFonts w:ascii="宋体" w:hAnsi="Courier New" w:eastAsiaTheme="minorEastAsia" w:cstheme="minorBidi"/>
      <w:szCs w:val="22"/>
    </w:rPr>
  </w:style>
  <w:style w:type="paragraph" w:styleId="10">
    <w:name w:val="Date"/>
    <w:basedOn w:val="1"/>
    <w:next w:val="1"/>
    <w:link w:val="38"/>
    <w:qFormat/>
    <w:uiPriority w:val="0"/>
    <w:rPr>
      <w:rFonts w:ascii="Arial" w:hAnsi="Arial" w:eastAsia="宋体" w:cs="Arial"/>
      <w:b/>
      <w:sz w:val="28"/>
    </w:rPr>
  </w:style>
  <w:style w:type="paragraph" w:styleId="11">
    <w:name w:val="Balloon Text"/>
    <w:basedOn w:val="1"/>
    <w:link w:val="25"/>
    <w:semiHidden/>
    <w:unhideWhenUsed/>
    <w:qFormat/>
    <w:uiPriority w:val="99"/>
    <w:rPr>
      <w:sz w:val="18"/>
      <w:szCs w:val="18"/>
    </w:rPr>
  </w:style>
  <w:style w:type="paragraph" w:styleId="12">
    <w:name w:val="footer"/>
    <w:basedOn w:val="1"/>
    <w:link w:val="30"/>
    <w:unhideWhenUsed/>
    <w:qFormat/>
    <w:uiPriority w:val="99"/>
    <w:pPr>
      <w:tabs>
        <w:tab w:val="center" w:pos="4153"/>
        <w:tab w:val="right" w:pos="8306"/>
      </w:tabs>
      <w:snapToGrid w:val="0"/>
      <w:jc w:val="left"/>
    </w:pPr>
    <w:rPr>
      <w:sz w:val="18"/>
      <w:szCs w:val="18"/>
    </w:rPr>
  </w:style>
  <w:style w:type="paragraph" w:styleId="13">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index 1"/>
    <w:basedOn w:val="1"/>
    <w:next w:val="1"/>
    <w:qFormat/>
    <w:uiPriority w:val="0"/>
    <w:pPr>
      <w:jc w:val="center"/>
    </w:pPr>
    <w:rPr>
      <w:rFonts w:ascii="Arial" w:hAnsi="Arial" w:eastAsia="Arial" w:cs="Arial"/>
      <w:b/>
      <w:bCs/>
      <w:sz w:val="28"/>
    </w:rPr>
  </w:style>
  <w:style w:type="paragraph" w:styleId="17">
    <w:name w:val="annotation subject"/>
    <w:basedOn w:val="7"/>
    <w:next w:val="7"/>
    <w:link w:val="51"/>
    <w:semiHidden/>
    <w:unhideWhenUsed/>
    <w:qFormat/>
    <w:uiPriority w:val="99"/>
    <w:rPr>
      <w:rFonts w:ascii="@仿宋_GB2312" w:hAnsi="@仿宋_GB2312" w:eastAsia="@仿宋_GB2312" w:cs="@仿宋_GB2312"/>
      <w:b/>
      <w:bCs/>
    </w:rPr>
  </w:style>
  <w:style w:type="paragraph" w:styleId="18">
    <w:name w:val="Body Text First Indent"/>
    <w:basedOn w:val="2"/>
    <w:unhideWhenUsed/>
    <w:qFormat/>
    <w:uiPriority w:val="99"/>
    <w:pPr>
      <w:ind w:firstLine="420" w:firstLineChars="100"/>
    </w:pPr>
  </w:style>
  <w:style w:type="table" w:styleId="20">
    <w:name w:val="Table Grid"/>
    <w:basedOn w:val="19"/>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0"/>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批注框文本 字符"/>
    <w:basedOn w:val="21"/>
    <w:link w:val="11"/>
    <w:semiHidden/>
    <w:qFormat/>
    <w:uiPriority w:val="99"/>
    <w:rPr>
      <w:rFonts w:ascii="@仿宋_GB2312" w:hAnsi="@仿宋_GB2312" w:eastAsia="@仿宋_GB2312" w:cs="@仿宋_GB2312"/>
      <w:sz w:val="18"/>
      <w:szCs w:val="18"/>
    </w:rPr>
  </w:style>
  <w:style w:type="paragraph" w:customStyle="1" w:styleId="26">
    <w:name w:val="正文（缩进）"/>
    <w:basedOn w:val="1"/>
    <w:qFormat/>
    <w:uiPriority w:val="0"/>
    <w:pPr>
      <w:widowControl/>
      <w:spacing w:before="156" w:after="156"/>
      <w:ind w:firstLine="480" w:firstLineChars="200"/>
      <w:jc w:val="left"/>
    </w:pPr>
    <w:rPr>
      <w:kern w:val="0"/>
      <w:sz w:val="24"/>
      <w:szCs w:val="24"/>
    </w:rPr>
  </w:style>
  <w:style w:type="paragraph" w:customStyle="1" w:styleId="27">
    <w:name w:val="xl31"/>
    <w:basedOn w:val="1"/>
    <w:qFormat/>
    <w:uiPriority w:val="0"/>
    <w:pPr>
      <w:widowControl/>
      <w:spacing w:before="100" w:beforeAutospacing="1" w:after="100" w:afterAutospacing="1"/>
      <w:jc w:val="center"/>
    </w:pPr>
    <w:rPr>
      <w:b/>
      <w:bCs/>
      <w:kern w:val="0"/>
      <w:sz w:val="28"/>
      <w:szCs w:val="28"/>
    </w:rPr>
  </w:style>
  <w:style w:type="paragraph" w:customStyle="1" w:styleId="28">
    <w:name w:val="D&amp;L"/>
    <w:basedOn w:val="13"/>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9">
    <w:name w:val="页眉 字符"/>
    <w:basedOn w:val="21"/>
    <w:link w:val="13"/>
    <w:qFormat/>
    <w:uiPriority w:val="0"/>
    <w:rPr>
      <w:rFonts w:ascii="@仿宋_GB2312" w:hAnsi="@仿宋_GB2312" w:eastAsia="@仿宋_GB2312" w:cs="@仿宋_GB2312"/>
      <w:sz w:val="18"/>
      <w:szCs w:val="18"/>
    </w:rPr>
  </w:style>
  <w:style w:type="character" w:customStyle="1" w:styleId="30">
    <w:name w:val="页脚 字符"/>
    <w:basedOn w:val="21"/>
    <w:link w:val="12"/>
    <w:qFormat/>
    <w:uiPriority w:val="99"/>
    <w:rPr>
      <w:rFonts w:ascii="@仿宋_GB2312" w:hAnsi="@仿宋_GB2312" w:eastAsia="@仿宋_GB2312" w:cs="@仿宋_GB2312"/>
      <w:sz w:val="18"/>
      <w:szCs w:val="18"/>
    </w:rPr>
  </w:style>
  <w:style w:type="character" w:customStyle="1" w:styleId="31">
    <w:name w:val="纯文本 字符"/>
    <w:link w:val="9"/>
    <w:qFormat/>
    <w:uiPriority w:val="0"/>
    <w:rPr>
      <w:rFonts w:ascii="宋体" w:hAnsi="Courier New"/>
    </w:rPr>
  </w:style>
  <w:style w:type="character" w:customStyle="1" w:styleId="32">
    <w:name w:val="纯文本 字符1"/>
    <w:basedOn w:val="21"/>
    <w:semiHidden/>
    <w:qFormat/>
    <w:uiPriority w:val="99"/>
    <w:rPr>
      <w:rFonts w:hAnsi="Courier New" w:cs="Courier New" w:asciiTheme="minorEastAsia"/>
      <w:szCs w:val="20"/>
    </w:rPr>
  </w:style>
  <w:style w:type="character" w:customStyle="1" w:styleId="33">
    <w:name w:val="未处理的提及1"/>
    <w:basedOn w:val="21"/>
    <w:semiHidden/>
    <w:unhideWhenUsed/>
    <w:qFormat/>
    <w:uiPriority w:val="99"/>
    <w:rPr>
      <w:color w:val="605E5C"/>
      <w:shd w:val="clear" w:color="auto" w:fill="E1DFDD"/>
    </w:rPr>
  </w:style>
  <w:style w:type="paragraph" w:styleId="34">
    <w:name w:val="List Paragraph"/>
    <w:basedOn w:val="1"/>
    <w:qFormat/>
    <w:uiPriority w:val="34"/>
    <w:pPr>
      <w:ind w:firstLine="420" w:firstLineChars="200"/>
    </w:pPr>
  </w:style>
  <w:style w:type="paragraph" w:customStyle="1" w:styleId="35">
    <w:name w:val="Char Char Char Char Char Char Char1 Char"/>
    <w:basedOn w:val="1"/>
    <w:qFormat/>
    <w:uiPriority w:val="0"/>
    <w:rPr>
      <w:rFonts w:ascii="Arial" w:hAnsi="Arial" w:eastAsia="宋体" w:cs="Arial"/>
      <w:sz w:val="24"/>
    </w:rPr>
  </w:style>
  <w:style w:type="table" w:customStyle="1" w:styleId="36">
    <w:name w:val="网格表 1 浅色1"/>
    <w:basedOn w:val="1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7">
    <w:name w:val="日期 字符"/>
    <w:basedOn w:val="21"/>
    <w:semiHidden/>
    <w:qFormat/>
    <w:uiPriority w:val="99"/>
    <w:rPr>
      <w:rFonts w:ascii="@仿宋_GB2312" w:hAnsi="@仿宋_GB2312" w:eastAsia="@仿宋_GB2312" w:cs="@仿宋_GB2312"/>
      <w:szCs w:val="20"/>
    </w:rPr>
  </w:style>
  <w:style w:type="character" w:customStyle="1" w:styleId="38">
    <w:name w:val="日期 字符1"/>
    <w:link w:val="10"/>
    <w:qFormat/>
    <w:uiPriority w:val="0"/>
    <w:rPr>
      <w:rFonts w:ascii="Arial" w:hAnsi="Arial" w:eastAsia="宋体" w:cs="Arial"/>
      <w:b/>
      <w:sz w:val="28"/>
      <w:szCs w:val="20"/>
    </w:rPr>
  </w:style>
  <w:style w:type="character" w:customStyle="1" w:styleId="39">
    <w:name w:val="纯文本 Char1"/>
    <w:link w:val="40"/>
    <w:qFormat/>
    <w:locked/>
    <w:uiPriority w:val="0"/>
    <w:rPr>
      <w:rFonts w:ascii="Arial" w:hAnsi="Arial" w:eastAsia="Arial"/>
      <w:kern w:val="2"/>
      <w:sz w:val="21"/>
      <w:lang w:val="en-US" w:eastAsia="zh-CN" w:bidi="ar-SA"/>
    </w:rPr>
  </w:style>
  <w:style w:type="paragraph" w:customStyle="1" w:styleId="40">
    <w:name w:val="纯文本1"/>
    <w:basedOn w:val="1"/>
    <w:link w:val="39"/>
    <w:qFormat/>
    <w:uiPriority w:val="0"/>
    <w:rPr>
      <w:rFonts w:ascii="Arial" w:hAnsi="Arial" w:eastAsia="Arial" w:cstheme="minorBidi"/>
      <w:szCs w:val="22"/>
    </w:rPr>
  </w:style>
  <w:style w:type="character" w:customStyle="1" w:styleId="41">
    <w:name w:val="批注文字 Char"/>
    <w:basedOn w:val="21"/>
    <w:semiHidden/>
    <w:qFormat/>
    <w:uiPriority w:val="99"/>
    <w:rPr>
      <w:rFonts w:ascii="@仿宋_GB2312" w:hAnsi="@仿宋_GB2312" w:eastAsia="@仿宋_GB2312" w:cs="@仿宋_GB2312"/>
      <w:szCs w:val="20"/>
    </w:rPr>
  </w:style>
  <w:style w:type="character" w:customStyle="1" w:styleId="42">
    <w:name w:val="批注文字 字符"/>
    <w:link w:val="7"/>
    <w:qFormat/>
    <w:uiPriority w:val="0"/>
    <w:rPr>
      <w:rFonts w:ascii="Arial" w:hAnsi="Arial" w:eastAsia="黑体" w:cs="Arial"/>
      <w:szCs w:val="20"/>
    </w:rPr>
  </w:style>
  <w:style w:type="character" w:customStyle="1" w:styleId="43">
    <w:name w:val="标题 1 字符"/>
    <w:basedOn w:val="21"/>
    <w:link w:val="3"/>
    <w:qFormat/>
    <w:uiPriority w:val="9"/>
    <w:rPr>
      <w:rFonts w:ascii="@仿宋_GB2312" w:hAnsi="@仿宋_GB2312" w:eastAsia="@仿宋_GB2312" w:cs="@仿宋_GB2312"/>
      <w:b/>
      <w:bCs/>
      <w:kern w:val="44"/>
      <w:sz w:val="44"/>
      <w:szCs w:val="44"/>
    </w:rPr>
  </w:style>
  <w:style w:type="paragraph" w:customStyle="1" w:styleId="44">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5">
    <w:name w:val="标题 3 字符"/>
    <w:basedOn w:val="21"/>
    <w:link w:val="4"/>
    <w:semiHidden/>
    <w:qFormat/>
    <w:uiPriority w:val="9"/>
    <w:rPr>
      <w:rFonts w:ascii="@仿宋_GB2312" w:hAnsi="@仿宋_GB2312" w:eastAsia="@仿宋_GB2312" w:cs="@仿宋_GB2312"/>
      <w:b/>
      <w:bCs/>
      <w:sz w:val="32"/>
      <w:szCs w:val="32"/>
    </w:rPr>
  </w:style>
  <w:style w:type="character" w:customStyle="1" w:styleId="46">
    <w:name w:val="fontstyle01"/>
    <w:basedOn w:val="21"/>
    <w:qFormat/>
    <w:uiPriority w:val="0"/>
    <w:rPr>
      <w:rFonts w:hint="eastAsia" w:ascii="宋体" w:hAnsi="宋体" w:eastAsia="宋体"/>
      <w:color w:val="000000"/>
      <w:sz w:val="22"/>
      <w:szCs w:val="22"/>
    </w:rPr>
  </w:style>
  <w:style w:type="character" w:customStyle="1" w:styleId="47">
    <w:name w:val="fontstyle21"/>
    <w:basedOn w:val="21"/>
    <w:qFormat/>
    <w:uiPriority w:val="0"/>
    <w:rPr>
      <w:rFonts w:hint="default" w:ascii="TimesNewRomanPSMT" w:hAnsi="TimesNewRomanPSMT"/>
      <w:color w:val="000000"/>
      <w:sz w:val="22"/>
      <w:szCs w:val="22"/>
    </w:rPr>
  </w:style>
  <w:style w:type="character" w:customStyle="1" w:styleId="48">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49">
    <w:name w:val="标题 4 字符"/>
    <w:basedOn w:val="21"/>
    <w:semiHidden/>
    <w:qFormat/>
    <w:uiPriority w:val="9"/>
    <w:rPr>
      <w:rFonts w:asciiTheme="majorHAnsi" w:hAnsiTheme="majorHAnsi" w:eastAsiaTheme="majorEastAsia" w:cstheme="majorBidi"/>
      <w:b/>
      <w:bCs/>
      <w:sz w:val="28"/>
      <w:szCs w:val="28"/>
    </w:rPr>
  </w:style>
  <w:style w:type="character" w:customStyle="1" w:styleId="50">
    <w:name w:val="标题 4 字符1"/>
    <w:link w:val="5"/>
    <w:qFormat/>
    <w:uiPriority w:val="0"/>
    <w:rPr>
      <w:rFonts w:ascii="@仿宋_GB2312" w:hAnsi="@仿宋_GB2312" w:eastAsia="@仿宋_GB2312" w:cs="@仿宋_GB2312"/>
      <w:b/>
      <w:bCs/>
      <w:sz w:val="28"/>
      <w:szCs w:val="28"/>
    </w:rPr>
  </w:style>
  <w:style w:type="character" w:customStyle="1" w:styleId="51">
    <w:name w:val="批注主题 字符"/>
    <w:basedOn w:val="42"/>
    <w:link w:val="17"/>
    <w:semiHidden/>
    <w:qFormat/>
    <w:uiPriority w:val="99"/>
    <w:rPr>
      <w:rFonts w:ascii="@仿宋_GB2312" w:hAnsi="@仿宋_GB2312" w:eastAsia="@仿宋_GB2312" w:cs="@仿宋_GB2312"/>
      <w:b/>
      <w:bCs/>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B1727-3043-4477-84AD-7E296BCC0B1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37</Pages>
  <Words>12803</Words>
  <Characters>13367</Characters>
  <Lines>113</Lines>
  <Paragraphs>31</Paragraphs>
  <TotalTime>0</TotalTime>
  <ScaleCrop>false</ScaleCrop>
  <LinksUpToDate>false</LinksUpToDate>
  <CharactersWithSpaces>14541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2019-12-07T15:22:00Z</cp:lastPrinted>
  <dcterms:modified xsi:type="dcterms:W3CDTF">2024-03-13T07:44:44Z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72CC4370702C42458A2E6402E4C36B45_13</vt:lpwstr>
  </property>
</Properties>
</file>