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hint="eastAsia" w:ascii="宋体" w:hAnsi="宋体" w:eastAsia="宋体"/>
          <w:b/>
          <w:bCs/>
          <w:color w:val="auto"/>
          <w:sz w:val="52"/>
          <w:szCs w:val="52"/>
          <w:highlight w:val="none"/>
          <w:lang w:eastAsia="zh-CN"/>
        </w:rPr>
      </w:pPr>
      <w:bookmarkStart w:id="0" w:name="_Hlk9544796"/>
      <w:r>
        <w:rPr>
          <w:rFonts w:hint="eastAsia" w:ascii="宋体" w:hAnsi="宋体" w:eastAsia="宋体"/>
          <w:b/>
          <w:bCs/>
          <w:color w:val="auto"/>
          <w:sz w:val="52"/>
          <w:szCs w:val="52"/>
          <w:highlight w:val="none"/>
          <w:lang w:val="en-US" w:eastAsia="zh-CN"/>
        </w:rPr>
        <w:t>安徽省</w:t>
      </w:r>
      <w:r>
        <w:rPr>
          <w:rFonts w:hint="eastAsia" w:ascii="宋体" w:hAnsi="宋体" w:eastAsia="宋体"/>
          <w:b/>
          <w:bCs/>
          <w:color w:val="auto"/>
          <w:sz w:val="52"/>
          <w:szCs w:val="52"/>
          <w:highlight w:val="none"/>
        </w:rPr>
        <w:t>政府采购</w:t>
      </w:r>
      <w:r>
        <w:rPr>
          <w:rFonts w:hint="eastAsia" w:ascii="宋体" w:hAnsi="宋体" w:eastAsia="宋体"/>
          <w:b/>
          <w:bCs/>
          <w:color w:val="auto"/>
          <w:sz w:val="52"/>
          <w:szCs w:val="52"/>
          <w:highlight w:val="none"/>
          <w:lang w:eastAsia="zh-CN"/>
        </w:rPr>
        <w:t>项目</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r>
        <w:rPr>
          <w:rFonts w:hint="eastAsia" w:ascii="宋体" w:hAnsi="宋体" w:eastAsia="宋体"/>
          <w:b/>
          <w:bCs/>
          <w:color w:val="auto"/>
          <w:sz w:val="52"/>
          <w:szCs w:val="52"/>
          <w:highlight w:val="none"/>
        </w:rPr>
        <w:t>竞争性磋商文件示范文本（服务类）</w:t>
      </w:r>
    </w:p>
    <w:bookmarkEnd w:id="0"/>
    <w:p>
      <w:pPr>
        <w:tabs>
          <w:tab w:val="left" w:pos="315"/>
          <w:tab w:val="left" w:pos="8820"/>
        </w:tabs>
        <w:spacing w:before="240" w:beforeLines="100" w:after="120" w:afterLines="50" w:line="500" w:lineRule="exact"/>
        <w:ind w:right="267" w:rightChars="127"/>
        <w:jc w:val="center"/>
        <w:rPr>
          <w:rFonts w:ascii="宋体" w:hAnsi="宋体" w:eastAsia="宋体"/>
          <w:bCs/>
          <w:color w:val="auto"/>
          <w:sz w:val="44"/>
          <w:szCs w:val="44"/>
          <w:highlight w:val="none"/>
        </w:rPr>
      </w:pPr>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2024版</w:t>
      </w:r>
      <w:r>
        <w:rPr>
          <w:rFonts w:hint="eastAsia" w:ascii="宋体" w:hAnsi="宋体" w:eastAsia="宋体"/>
          <w:b/>
          <w:bCs/>
          <w:color w:val="auto"/>
          <w:sz w:val="52"/>
          <w:szCs w:val="52"/>
          <w:highlight w:val="none"/>
          <w:lang w:eastAsia="zh-CN"/>
        </w:rPr>
        <w:t>）</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eastAsia="zh-CN"/>
        </w:rPr>
      </w:pPr>
      <w:r>
        <w:rPr>
          <w:rFonts w:hint="eastAsia" w:ascii="宋体" w:hAnsi="宋体" w:eastAsia="宋体"/>
          <w:b/>
          <w:color w:val="auto"/>
          <w:spacing w:val="20"/>
          <w:kern w:val="0"/>
          <w:sz w:val="32"/>
          <w:szCs w:val="32"/>
          <w:highlight w:val="none"/>
        </w:rPr>
        <w:t>项目名称：</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项目编号：</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采 购 人：</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采购代理机构：</w:t>
      </w:r>
      <w:r>
        <w:rPr>
          <w:rFonts w:hint="eastAsia" w:ascii="宋体" w:hAnsi="宋体" w:eastAsia="宋体"/>
          <w:b/>
          <w:color w:val="auto"/>
          <w:spacing w:val="20"/>
          <w:kern w:val="0"/>
          <w:sz w:val="32"/>
          <w:szCs w:val="32"/>
          <w:highlight w:val="none"/>
          <w:u w:val="single"/>
          <w:lang w:val="en-US" w:eastAsia="zh-CN"/>
        </w:rPr>
        <w:t xml:space="preserve">        </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jc w:val="center"/>
        <w:rPr>
          <w:rFonts w:hint="eastAsia" w:ascii="宋体" w:hAnsi="宋体" w:eastAsia="宋体"/>
          <w:b/>
          <w:color w:val="auto"/>
          <w:sz w:val="36"/>
          <w:highlight w:val="none"/>
        </w:rPr>
      </w:pP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rPr>
        <w:t>年</w:t>
      </w: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u w:val="single"/>
          <w:lang w:val="en-US" w:eastAsia="zh-CN"/>
        </w:rPr>
        <w:t xml:space="preserve"> </w:t>
      </w:r>
      <w:r>
        <w:rPr>
          <w:rFonts w:hint="eastAsia" w:ascii="宋体" w:hAnsi="宋体" w:eastAsia="宋体"/>
          <w:b/>
          <w:color w:val="auto"/>
          <w:sz w:val="36"/>
          <w:highlight w:val="none"/>
        </w:rPr>
        <w:t>月</w:t>
      </w:r>
    </w:p>
    <w:p>
      <w:pPr>
        <w:tabs>
          <w:tab w:val="left" w:pos="2410"/>
        </w:tabs>
        <w:autoSpaceDE w:val="0"/>
        <w:autoSpaceDN w:val="0"/>
        <w:adjustRightInd w:val="0"/>
        <w:snapToGrid w:val="0"/>
        <w:spacing w:line="360" w:lineRule="auto"/>
        <w:jc w:val="center"/>
        <w:rPr>
          <w:rFonts w:ascii="宋体" w:hAnsi="宋体" w:eastAsia="宋体"/>
          <w:b/>
          <w:color w:val="auto"/>
          <w:sz w:val="36"/>
          <w:highlight w:val="none"/>
        </w:rPr>
      </w:pPr>
      <w:r>
        <w:rPr>
          <w:rFonts w:ascii="宋体" w:hAnsi="宋体" w:eastAsia="宋体"/>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99301417"/>
      <w:bookmarkStart w:id="2" w:name="_Toc74227630"/>
      <w:bookmarkStart w:id="3" w:name="_Toc2777"/>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eastAsia="宋体" w:cs="Times New Roman"/>
          <w:kern w:val="0"/>
          <w:sz w:val="24"/>
          <w:szCs w:val="24"/>
          <w:highlight w:val="none"/>
          <w:lang w:val="en-US"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5.《示范文本》提供《政府采购供应商询问函和质疑函范本》，便于供应商通过网上询问、质疑等多种途径反馈诉求，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2.条款中以“□”形式标记的内容，为采购人或采购代理机构需要确定的选项。编制采购文件时，适用于本项目的选项标记为“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lang w:val="en-US" w:eastAsia="zh-CN"/>
        </w:rPr>
        <w:t>磋商小组</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联系。我们将及时总结经验，以进一步修订完善《示范文本》并协同推进其规范运用。</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rPr>
          <w:rFonts w:hint="eastAsia" w:ascii="宋体" w:hAnsi="宋体" w:eastAsia="宋体"/>
          <w:b/>
          <w:color w:val="auto"/>
          <w:sz w:val="28"/>
          <w:highlight w:val="none"/>
        </w:rPr>
      </w:pPr>
      <w:r>
        <w:rPr>
          <w:rFonts w:hint="eastAsia" w:ascii="宋体" w:hAnsi="宋体" w:eastAsia="宋体"/>
          <w:b/>
          <w:color w:val="auto"/>
          <w:sz w:val="28"/>
          <w:highlight w:val="none"/>
        </w:rPr>
        <w:br w:type="page"/>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r>
        <w:rPr>
          <w:rFonts w:hint="eastAsia" w:ascii="宋体" w:hAnsi="宋体" w:eastAsia="宋体"/>
          <w:b/>
          <w:color w:val="auto"/>
          <w:sz w:val="28"/>
          <w:highlight w:val="none"/>
        </w:rPr>
        <w:t>目  录</w:t>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p>
    <w:p>
      <w:pPr>
        <w:pStyle w:val="15"/>
        <w:tabs>
          <w:tab w:val="right" w:leader="dot" w:pos="8279"/>
        </w:tabs>
      </w:pPr>
      <w:r>
        <w:rPr>
          <w:rFonts w:asciiTheme="minorEastAsia" w:hAnsiTheme="minorEastAsia"/>
          <w:b/>
          <w:bCs/>
          <w:color w:val="auto"/>
          <w:sz w:val="24"/>
          <w:szCs w:val="24"/>
          <w:highlight w:val="none"/>
        </w:rPr>
        <w:fldChar w:fldCharType="begin"/>
      </w:r>
      <w:r>
        <w:rPr>
          <w:rFonts w:asciiTheme="minorEastAsia" w:hAnsiTheme="minorEastAsia"/>
          <w:b/>
          <w:bCs/>
          <w:color w:val="auto"/>
          <w:sz w:val="24"/>
          <w:szCs w:val="24"/>
          <w:highlight w:val="none"/>
        </w:rPr>
        <w:instrText xml:space="preserve"> </w:instrText>
      </w:r>
      <w:r>
        <w:rPr>
          <w:rFonts w:hint="eastAsia" w:asciiTheme="minorEastAsia" w:hAnsiTheme="minorEastAsia"/>
          <w:b/>
          <w:bCs/>
          <w:color w:val="auto"/>
          <w:sz w:val="24"/>
          <w:szCs w:val="24"/>
          <w:highlight w:val="none"/>
        </w:rPr>
        <w:instrText xml:space="preserve">TOC \o "1-2" \h \z \u</w:instrText>
      </w:r>
      <w:r>
        <w:rPr>
          <w:rFonts w:asciiTheme="minorEastAsia" w:hAnsiTheme="minorEastAsia"/>
          <w:b/>
          <w:bCs/>
          <w:color w:val="auto"/>
          <w:sz w:val="24"/>
          <w:szCs w:val="24"/>
          <w:highlight w:val="none"/>
        </w:rPr>
        <w:instrText xml:space="preserve"> </w:instrText>
      </w:r>
      <w:r>
        <w:rPr>
          <w:rFonts w:asciiTheme="minorEastAsia" w:hAnsiTheme="minorEastAsia"/>
          <w:b/>
          <w:bCs/>
          <w:color w:val="auto"/>
          <w:sz w:val="24"/>
          <w:szCs w:val="24"/>
          <w:highlight w:val="none"/>
        </w:rPr>
        <w:fldChar w:fldCharType="separate"/>
      </w: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_Toc19988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磋商邀请</w:t>
      </w:r>
      <w:r>
        <w:tab/>
      </w:r>
      <w:r>
        <w:fldChar w:fldCharType="begin"/>
      </w:r>
      <w:r>
        <w:instrText xml:space="preserve"> PAGEREF _Toc19988 \h </w:instrText>
      </w:r>
      <w:r>
        <w:fldChar w:fldCharType="separate"/>
      </w:r>
      <w:r>
        <w:t>1</w:t>
      </w:r>
      <w:r>
        <w:fldChar w:fldCharType="end"/>
      </w:r>
      <w:r>
        <w:rPr>
          <w:rFonts w:asciiTheme="minorEastAsia" w:hAnsiTheme="minorEastAsia"/>
          <w:bCs/>
          <w:color w:val="auto"/>
          <w:szCs w:val="24"/>
          <w:highlight w:val="none"/>
        </w:rPr>
        <w:fldChar w:fldCharType="end"/>
      </w:r>
    </w:p>
    <w:p>
      <w:pPr>
        <w:pStyle w:val="15"/>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_Toc7162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供应商</w:t>
      </w:r>
      <w:r>
        <w:rPr>
          <w:rFonts w:asciiTheme="minorEastAsia" w:hAnsiTheme="minorEastAsia" w:eastAsiaTheme="minorEastAsia"/>
          <w:highlight w:val="none"/>
        </w:rPr>
        <w:t>须知</w:t>
      </w:r>
      <w:r>
        <w:tab/>
      </w:r>
      <w:r>
        <w:fldChar w:fldCharType="begin"/>
      </w:r>
      <w:r>
        <w:instrText xml:space="preserve"> PAGEREF _Toc7162 \h </w:instrText>
      </w:r>
      <w:r>
        <w:fldChar w:fldCharType="separate"/>
      </w:r>
      <w:r>
        <w:t>3</w:t>
      </w:r>
      <w:r>
        <w:fldChar w:fldCharType="end"/>
      </w:r>
      <w:r>
        <w:rPr>
          <w:rFonts w:asciiTheme="minorEastAsia" w:hAnsiTheme="minorEastAsia"/>
          <w:bCs/>
          <w:color w:val="auto"/>
          <w:szCs w:val="24"/>
          <w:highlight w:val="none"/>
        </w:rPr>
        <w:fldChar w:fldCharType="end"/>
      </w:r>
    </w:p>
    <w:p>
      <w:pPr>
        <w:pStyle w:val="15"/>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_Toc19440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第三章  采购需求</w:t>
      </w:r>
      <w:r>
        <w:tab/>
      </w:r>
      <w:r>
        <w:fldChar w:fldCharType="begin"/>
      </w:r>
      <w:r>
        <w:instrText xml:space="preserve"> PAGEREF _Toc19440 \h </w:instrText>
      </w:r>
      <w:r>
        <w:fldChar w:fldCharType="separate"/>
      </w:r>
      <w:r>
        <w:t>15</w:t>
      </w:r>
      <w:r>
        <w:fldChar w:fldCharType="end"/>
      </w:r>
      <w:r>
        <w:rPr>
          <w:rFonts w:asciiTheme="minorEastAsia" w:hAnsiTheme="minorEastAsia"/>
          <w:bCs/>
          <w:color w:val="auto"/>
          <w:szCs w:val="24"/>
          <w:highlight w:val="none"/>
        </w:rPr>
        <w:fldChar w:fldCharType="end"/>
      </w:r>
    </w:p>
    <w:p>
      <w:pPr>
        <w:pStyle w:val="15"/>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_Toc8668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第四章  评审方法和标准</w:t>
      </w:r>
      <w:r>
        <w:tab/>
      </w:r>
      <w:r>
        <w:fldChar w:fldCharType="begin"/>
      </w:r>
      <w:r>
        <w:instrText xml:space="preserve"> PAGEREF _Toc8668 \h </w:instrText>
      </w:r>
      <w:r>
        <w:fldChar w:fldCharType="separate"/>
      </w:r>
      <w:r>
        <w:t>17</w:t>
      </w:r>
      <w:r>
        <w:fldChar w:fldCharType="end"/>
      </w:r>
      <w:r>
        <w:rPr>
          <w:rFonts w:asciiTheme="minorEastAsia" w:hAnsiTheme="minorEastAsia"/>
          <w:bCs/>
          <w:color w:val="auto"/>
          <w:szCs w:val="24"/>
          <w:highlight w:val="none"/>
        </w:rPr>
        <w:fldChar w:fldCharType="end"/>
      </w:r>
    </w:p>
    <w:p>
      <w:pPr>
        <w:pStyle w:val="15"/>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_Toc17167 </w:instrText>
      </w:r>
      <w:r>
        <w:rPr>
          <w:rFonts w:asciiTheme="minorEastAsia" w:hAnsiTheme="minorEastAsia"/>
          <w:bCs/>
          <w:szCs w:val="24"/>
          <w:highlight w:val="none"/>
        </w:rPr>
        <w:fldChar w:fldCharType="separate"/>
      </w:r>
      <w:r>
        <w:rPr>
          <w:rFonts w:hint="eastAsia" w:asciiTheme="minorEastAsia" w:hAnsiTheme="minorEastAsia" w:eastAsiaTheme="minorEastAsia"/>
        </w:rPr>
        <w:t xml:space="preserve">第五章  </w:t>
      </w:r>
      <w:r>
        <w:rPr>
          <w:rFonts w:asciiTheme="minorEastAsia" w:hAnsiTheme="minorEastAsia" w:eastAsiaTheme="minorEastAsia"/>
        </w:rPr>
        <w:t>政府采购合同</w:t>
      </w:r>
      <w:bookmarkStart w:id="304" w:name="_GoBack"/>
      <w:bookmarkEnd w:id="304"/>
      <w:r>
        <w:tab/>
      </w:r>
      <w:r>
        <w:fldChar w:fldCharType="begin"/>
      </w:r>
      <w:r>
        <w:instrText xml:space="preserve"> PAGEREF _Toc17167 \h </w:instrText>
      </w:r>
      <w:r>
        <w:fldChar w:fldCharType="separate"/>
      </w:r>
      <w:r>
        <w:t>21</w:t>
      </w:r>
      <w:r>
        <w:fldChar w:fldCharType="end"/>
      </w:r>
      <w:r>
        <w:rPr>
          <w:rFonts w:asciiTheme="minorEastAsia" w:hAnsiTheme="minorEastAsia"/>
          <w:bCs/>
          <w:color w:val="auto"/>
          <w:szCs w:val="24"/>
          <w:highlight w:val="none"/>
        </w:rPr>
        <w:fldChar w:fldCharType="end"/>
      </w:r>
    </w:p>
    <w:p>
      <w:pPr>
        <w:pStyle w:val="15"/>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_Toc25148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第六章  响应文件格式</w:t>
      </w:r>
      <w:r>
        <w:tab/>
      </w:r>
      <w:r>
        <w:fldChar w:fldCharType="begin"/>
      </w:r>
      <w:r>
        <w:instrText xml:space="preserve"> PAGEREF _Toc25148 \h </w:instrText>
      </w:r>
      <w:r>
        <w:fldChar w:fldCharType="separate"/>
      </w:r>
      <w:r>
        <w:t>30</w:t>
      </w:r>
      <w:r>
        <w:fldChar w:fldCharType="end"/>
      </w:r>
      <w:r>
        <w:rPr>
          <w:rFonts w:asciiTheme="minorEastAsia" w:hAnsiTheme="minorEastAsia"/>
          <w:bCs/>
          <w:color w:val="auto"/>
          <w:szCs w:val="24"/>
          <w:highlight w:val="none"/>
        </w:rPr>
        <w:fldChar w:fldCharType="end"/>
      </w:r>
    </w:p>
    <w:p>
      <w:pPr>
        <w:pStyle w:val="15"/>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_Toc19418 </w:instrText>
      </w:r>
      <w:r>
        <w:rPr>
          <w:rFonts w:asciiTheme="minorEastAsia" w:hAnsiTheme="minorEastAsia"/>
          <w:bCs/>
          <w:szCs w:val="24"/>
          <w:highlight w:val="none"/>
        </w:rPr>
        <w:fldChar w:fldCharType="separate"/>
      </w:r>
      <w:r>
        <w:rPr>
          <w:rFonts w:hint="eastAsia" w:ascii="宋体" w:hAnsi="宋体" w:eastAsia="宋体"/>
          <w:bCs/>
          <w:highlight w:val="none"/>
        </w:rPr>
        <w:t>第</w:t>
      </w:r>
      <w:r>
        <w:rPr>
          <w:rFonts w:hint="eastAsia" w:ascii="宋体" w:hAnsi="宋体" w:eastAsia="宋体"/>
          <w:bCs/>
          <w:highlight w:val="none"/>
          <w:lang w:val="en-US" w:eastAsia="zh-CN"/>
        </w:rPr>
        <w:t>七</w:t>
      </w:r>
      <w:r>
        <w:rPr>
          <w:rFonts w:hint="eastAsia" w:ascii="宋体" w:hAnsi="宋体" w:eastAsia="宋体"/>
          <w:bCs/>
          <w:highlight w:val="none"/>
        </w:rPr>
        <w:t>章  政府采购</w:t>
      </w:r>
      <w:r>
        <w:rPr>
          <w:rFonts w:hint="eastAsia" w:asciiTheme="minorEastAsia" w:hAnsiTheme="minorEastAsia" w:eastAsiaTheme="minorEastAsia"/>
          <w:highlight w:val="none"/>
        </w:rPr>
        <w:t>供应</w:t>
      </w:r>
      <w:r>
        <w:rPr>
          <w:rFonts w:hint="eastAsia" w:ascii="宋体" w:hAnsi="宋体" w:eastAsia="宋体"/>
          <w:bCs/>
          <w:highlight w:val="none"/>
        </w:rPr>
        <w:t>商询问函和质疑函范本</w:t>
      </w:r>
      <w:r>
        <w:tab/>
      </w:r>
      <w:r>
        <w:fldChar w:fldCharType="begin"/>
      </w:r>
      <w:r>
        <w:instrText xml:space="preserve"> PAGEREF _Toc19418 \h </w:instrText>
      </w:r>
      <w:r>
        <w:fldChar w:fldCharType="separate"/>
      </w:r>
      <w:r>
        <w:t>47</w:t>
      </w:r>
      <w:r>
        <w:fldChar w:fldCharType="end"/>
      </w:r>
      <w:r>
        <w:rPr>
          <w:rFonts w:asciiTheme="minorEastAsia" w:hAnsiTheme="minorEastAsia"/>
          <w:bCs/>
          <w:color w:val="auto"/>
          <w:szCs w:val="24"/>
          <w:highlight w:val="none"/>
        </w:rPr>
        <w:fldChar w:fldCharType="end"/>
      </w:r>
    </w:p>
    <w:p>
      <w:pPr>
        <w:pStyle w:val="16"/>
        <w:tabs>
          <w:tab w:val="right" w:leader="dot" w:pos="8296"/>
        </w:tabs>
        <w:rPr>
          <w:rFonts w:asciiTheme="minorEastAsia" w:hAnsiTheme="minorEastAsia"/>
          <w:b/>
          <w:color w:val="auto"/>
          <w:sz w:val="32"/>
          <w:highlight w:val="none"/>
        </w:rPr>
      </w:pPr>
      <w:r>
        <w:rPr>
          <w:rFonts w:asciiTheme="minorEastAsia" w:hAnsiTheme="minorEastAsia"/>
          <w:bCs/>
          <w:color w:val="auto"/>
          <w:szCs w:val="24"/>
          <w:highlight w:val="none"/>
        </w:rPr>
        <w:fldChar w:fldCharType="end"/>
      </w:r>
    </w:p>
    <w:p>
      <w:pPr>
        <w:spacing w:line="360" w:lineRule="auto"/>
        <w:jc w:val="center"/>
        <w:outlineLvl w:val="1"/>
        <w:rPr>
          <w:rFonts w:asciiTheme="minorEastAsia" w:hAnsiTheme="minorEastAsia" w:eastAsiaTheme="minorEastAsia"/>
          <w:b/>
          <w:color w:val="auto"/>
          <w:sz w:val="28"/>
          <w:highlight w:val="none"/>
        </w:rPr>
        <w:sectPr>
          <w:headerReference r:id="rId3" w:type="default"/>
          <w:footerReference r:id="rId4" w:type="default"/>
          <w:pgSz w:w="11907" w:h="16840"/>
          <w:pgMar w:top="1474" w:right="1814" w:bottom="1474" w:left="1814" w:header="851" w:footer="992" w:gutter="0"/>
          <w:cols w:space="720" w:num="1"/>
          <w:docGrid w:linePitch="46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501"/>
      <w:bookmarkStart w:id="5" w:name="_Toc19988"/>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磋商邀请</w:t>
      </w:r>
      <w:bookmarkEnd w:id="4"/>
      <w:bookmarkEnd w:id="5"/>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6" w:name="_Toc35393798"/>
      <w:bookmarkStart w:id="7" w:name="_Toc28359089"/>
      <w:bookmarkStart w:id="8" w:name="_Toc35393629"/>
      <w:bookmarkStart w:id="9" w:name="_Toc28359012"/>
      <w:bookmarkStart w:id="10" w:name="_Toc14730"/>
      <w:r>
        <w:rPr>
          <w:rFonts w:hint="eastAsia" w:ascii="宋体" w:hAnsi="宋体" w:eastAsia="宋体" w:cs="宋体"/>
          <w:b/>
          <w:bCs w:val="0"/>
          <w:sz w:val="24"/>
          <w:szCs w:val="24"/>
        </w:rPr>
        <w:t>一、项目基本情况</w:t>
      </w:r>
      <w:bookmarkEnd w:id="6"/>
      <w:bookmarkEnd w:id="7"/>
      <w:bookmarkEnd w:id="8"/>
      <w:bookmarkEnd w:id="9"/>
      <w:bookmarkEnd w:id="10"/>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2.</w:t>
      </w:r>
      <w:r>
        <w:rPr>
          <w:rFonts w:hint="eastAsia" w:ascii="宋体" w:hAnsi="宋体" w:eastAsia="宋体" w:cs="宋体"/>
          <w:sz w:val="24"/>
          <w:szCs w:val="24"/>
        </w:rPr>
        <w:t>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最高限价</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如有</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5.</w:t>
      </w:r>
      <w:r>
        <w:rPr>
          <w:rFonts w:hint="eastAsia" w:ascii="宋体" w:hAnsi="宋体" w:eastAsia="宋体" w:cs="宋体"/>
          <w:sz w:val="24"/>
          <w:szCs w:val="24"/>
        </w:rPr>
        <w:t>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6.</w:t>
      </w:r>
      <w:r>
        <w:rPr>
          <w:rFonts w:hint="eastAsia" w:ascii="宋体" w:hAnsi="宋体" w:eastAsia="宋体" w:cs="宋体"/>
          <w:sz w:val="24"/>
          <w:szCs w:val="24"/>
        </w:rPr>
        <w:t>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Theme="minorEastAsia" w:hAnsiTheme="minorEastAsia" w:eastAsiaTheme="minorEastAsia"/>
          <w:color w:val="auto"/>
          <w:sz w:val="24"/>
          <w:highlight w:val="none"/>
        </w:rPr>
        <w:t>本项目（是/否）接受联合体</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11" w:name="_Toc35393799"/>
      <w:bookmarkStart w:id="12" w:name="_Toc28359090"/>
      <w:bookmarkStart w:id="13" w:name="_Toc28359013"/>
      <w:bookmarkStart w:id="14" w:name="_Toc35393630"/>
      <w:bookmarkStart w:id="15" w:name="_Toc32615"/>
      <w:r>
        <w:rPr>
          <w:rFonts w:hint="eastAsia" w:ascii="宋体" w:hAnsi="宋体" w:eastAsia="宋体" w:cs="宋体"/>
          <w:b/>
          <w:bCs w:val="0"/>
          <w:sz w:val="24"/>
          <w:szCs w:val="24"/>
        </w:rPr>
        <w:t>二、申请人的资格要求：</w:t>
      </w:r>
      <w:bookmarkEnd w:id="11"/>
      <w:bookmarkEnd w:id="12"/>
      <w:bookmarkEnd w:id="13"/>
      <w:bookmarkEnd w:id="14"/>
      <w:bookmarkEnd w:id="15"/>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1.满足《中华人民共和国政府采购法》第二十二条规定；</w:t>
      </w:r>
    </w:p>
    <w:p>
      <w:pPr>
        <w:spacing w:line="360" w:lineRule="auto"/>
        <w:ind w:firstLine="435"/>
        <w:rPr>
          <w:rFonts w:hint="eastAsia" w:ascii="宋体" w:hAnsi="宋体" w:eastAsia="宋体" w:cs="宋体"/>
          <w:sz w:val="24"/>
          <w:szCs w:val="24"/>
        </w:rPr>
      </w:pPr>
      <w:bookmarkStart w:id="16" w:name="_Toc28359014"/>
      <w:bookmarkStart w:id="17" w:name="_Toc28359091"/>
      <w:r>
        <w:rPr>
          <w:rFonts w:hint="eastAsia" w:ascii="宋体" w:hAnsi="宋体" w:eastAsia="宋体" w:cs="宋体"/>
          <w:sz w:val="24"/>
          <w:szCs w:val="24"/>
        </w:rPr>
        <w:t>2.落实政府采购政策需满足的资格要求：</w:t>
      </w:r>
    </w:p>
    <w:p>
      <w:pPr>
        <w:spacing w:line="360" w:lineRule="auto"/>
        <w:ind w:firstLine="435"/>
        <w:rPr>
          <w:rFonts w:hint="default" w:asciiTheme="minorEastAsia" w:hAnsiTheme="minorEastAsia" w:eastAsiaTheme="minorEastAsia"/>
          <w:color w:val="auto"/>
          <w:sz w:val="24"/>
          <w:highlight w:val="none"/>
          <w:lang w:val="en-US"/>
        </w:rPr>
      </w:pPr>
      <w:r>
        <w:rPr>
          <w:rFonts w:hint="eastAsia" w:asciiTheme="minorEastAsia" w:hAnsiTheme="minorEastAsia" w:eastAsiaTheme="minorEastAsia"/>
          <w:color w:val="auto"/>
          <w:sz w:val="24"/>
          <w:highlight w:val="none"/>
          <w:lang w:val="en-US" w:eastAsia="zh-CN"/>
        </w:rPr>
        <w:t>2.1中小企业政策</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sym w:font="Wingdings 2" w:char="00A3"/>
      </w:r>
      <w:r>
        <w:rPr>
          <w:rFonts w:hint="eastAsia" w:asciiTheme="minorEastAsia" w:hAnsiTheme="minorEastAsia" w:eastAsiaTheme="minorEastAsia"/>
          <w:color w:val="auto"/>
          <w:sz w:val="24"/>
          <w:highlight w:val="none"/>
          <w:lang w:val="en-US" w:eastAsia="zh-CN"/>
        </w:rPr>
        <w:t>本项目不专门面向中小企业预留采购份额。</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 xml:space="preserve">本项目专门面向  </w:t>
      </w:r>
      <w:r>
        <w:rPr>
          <w:rFonts w:hint="default" w:asciiTheme="minorEastAsia" w:hAnsiTheme="minorEastAsia" w:eastAsiaTheme="minorEastAsia"/>
          <w:color w:val="auto"/>
          <w:sz w:val="24"/>
          <w:highlight w:val="none"/>
          <w:lang w:val="en-US" w:eastAsia="zh-CN"/>
        </w:rPr>
        <w:sym w:font="Wingdings 2" w:char="00A3"/>
      </w:r>
      <w:r>
        <w:rPr>
          <w:rFonts w:hint="eastAsia" w:asciiTheme="minorEastAsia" w:hAnsiTheme="minorEastAsia" w:eastAsiaTheme="minorEastAsia"/>
          <w:color w:val="auto"/>
          <w:sz w:val="24"/>
          <w:highlight w:val="none"/>
          <w:lang w:val="en-US" w:eastAsia="zh-CN"/>
        </w:rPr>
        <w:t xml:space="preserve">中小企业  </w:t>
      </w: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小微企业  采购。即：提供的服务全部由符合政策要求的中小</w:t>
      </w: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小微企业承接。</w:t>
      </w:r>
    </w:p>
    <w:p>
      <w:pPr>
        <w:spacing w:line="360" w:lineRule="auto"/>
        <w:ind w:firstLine="435"/>
        <w:rPr>
          <w:rFonts w:hint="eastAsia" w:asciiTheme="minorEastAsia" w:hAnsiTheme="minorEastAsia" w:eastAsiaTheme="minorEastAsia"/>
          <w:color w:val="auto"/>
          <w:sz w:val="24"/>
          <w:highlight w:val="none"/>
        </w:rPr>
      </w:pPr>
      <w:r>
        <w:rPr>
          <w:rFonts w:hint="default"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lang w:val="en-US" w:eastAsia="zh-CN"/>
        </w:rPr>
        <w:t>本项目预留部分采购项目预算专门面向中小企业采购。对于预留份额，提供的服务由符合政策要求的中小企业承接。预留份额通过以下措施进行：</w:t>
      </w:r>
      <w:r>
        <w:rPr>
          <w:rFonts w:hint="default" w:asciiTheme="minorEastAsia" w:hAnsiTheme="minorEastAsia" w:eastAsiaTheme="minorEastAsia"/>
          <w:color w:val="auto"/>
          <w:sz w:val="24"/>
          <w:highlight w:val="none"/>
          <w:lang w:val="en-US" w:eastAsia="zh-CN"/>
        </w:rPr>
        <w:t>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hint="eastAsia"/>
          <w:highlight w:val="none"/>
          <w:lang w:eastAsia="zh-CN"/>
        </w:rPr>
      </w:pPr>
      <w:r>
        <w:rPr>
          <w:rFonts w:hint="default" w:asciiTheme="minorEastAsia" w:hAnsiTheme="minorEastAsia" w:eastAsiaTheme="minorEastAsia"/>
          <w:color w:val="auto"/>
          <w:sz w:val="24"/>
          <w:highlight w:val="none"/>
          <w:lang w:val="en-US" w:eastAsia="zh-CN"/>
        </w:rPr>
        <w:t>2.2</w:t>
      </w:r>
      <w:r>
        <w:rPr>
          <w:rFonts w:hint="eastAsia" w:asciiTheme="minorEastAsia" w:hAnsiTheme="minorEastAsia" w:eastAsiaTheme="minorEastAsia"/>
          <w:color w:val="auto"/>
          <w:sz w:val="24"/>
          <w:highlight w:val="none"/>
          <w:lang w:val="en-US" w:eastAsia="zh-CN"/>
        </w:rPr>
        <w:t>其它落实政府采购政策的资格要求</w:t>
      </w:r>
      <w:r>
        <w:rPr>
          <w:rFonts w:hint="eastAsia" w:asciiTheme="minorEastAsia" w:hAnsiTheme="minorEastAsia" w:eastAsiaTheme="minorEastAsia"/>
          <w:i/>
          <w:iCs/>
          <w:color w:val="auto"/>
          <w:sz w:val="24"/>
          <w:highlight w:val="none"/>
          <w:lang w:val="en-US" w:eastAsia="zh-CN"/>
        </w:rPr>
        <w:t>（如有）</w:t>
      </w:r>
      <w:r>
        <w:rPr>
          <w:rFonts w:hint="eastAsia" w:asciiTheme="minorEastAsia" w:hAnsiTheme="minorEastAsia" w:eastAsiaTheme="minorEastAsia"/>
          <w:color w:val="auto"/>
          <w:sz w:val="24"/>
          <w:highlight w:val="none"/>
          <w:lang w:val="en-US" w:eastAsia="zh-CN"/>
        </w:rPr>
        <w:t>：</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iCs/>
          <w:sz w:val="24"/>
          <w:szCs w:val="24"/>
          <w:u w:val="single"/>
        </w:rPr>
      </w:pPr>
      <w:r>
        <w:rPr>
          <w:rFonts w:hint="eastAsia" w:ascii="宋体" w:hAnsi="宋体" w:eastAsia="宋体" w:cs="宋体"/>
          <w:sz w:val="24"/>
          <w:szCs w:val="24"/>
        </w:rPr>
        <w:t>3.本项目的特定资格要求：</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18" w:name="_Toc35393631"/>
      <w:bookmarkStart w:id="19" w:name="_Toc35393800"/>
      <w:bookmarkStart w:id="20" w:name="_Toc24072"/>
      <w:r>
        <w:rPr>
          <w:rFonts w:hint="eastAsia" w:ascii="宋体" w:hAnsi="宋体" w:eastAsia="宋体" w:cs="宋体"/>
          <w:b/>
          <w:bCs w:val="0"/>
          <w:sz w:val="24"/>
          <w:szCs w:val="24"/>
        </w:rPr>
        <w:t>三、获取采购文件</w:t>
      </w:r>
      <w:bookmarkEnd w:id="16"/>
      <w:bookmarkEnd w:id="17"/>
      <w:bookmarkEnd w:id="18"/>
      <w:bookmarkEnd w:id="19"/>
      <w:bookmarkEnd w:id="20"/>
    </w:p>
    <w:p>
      <w:pPr>
        <w:spacing w:line="360" w:lineRule="auto"/>
        <w:ind w:firstLine="540"/>
        <w:rPr>
          <w:rFonts w:hint="eastAsia" w:asciiTheme="minorEastAsia" w:hAnsiTheme="minorEastAsia" w:eastAsiaTheme="minorEastAsia" w:cstheme="minorEastAsia"/>
          <w:i/>
          <w:iCs/>
          <w:sz w:val="24"/>
          <w:szCs w:val="24"/>
        </w:rPr>
      </w:pPr>
      <w:bookmarkStart w:id="21" w:name="_Toc28359015"/>
      <w:bookmarkStart w:id="22" w:name="_Toc28359092"/>
      <w:bookmarkStart w:id="23" w:name="_Toc35393801"/>
      <w:bookmarkStart w:id="24" w:name="_Toc35393632"/>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i/>
          <w:sz w:val="24"/>
          <w:szCs w:val="24"/>
          <w:u w:val="none"/>
        </w:rPr>
        <w:t>提供期限自本公告发布之日起不得少于5个工作日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sz w:val="24"/>
          <w:szCs w:val="24"/>
        </w:rPr>
        <w:t>，每天上午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，下午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i/>
          <w:iCs/>
          <w:sz w:val="24"/>
          <w:szCs w:val="24"/>
        </w:rPr>
        <w:t>（北京时间，法定节假日除外）</w:t>
      </w:r>
    </w:p>
    <w:p>
      <w:pPr>
        <w:spacing w:line="360" w:lineRule="auto"/>
        <w:ind w:firstLine="540"/>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售价：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25" w:name="_Toc5805"/>
      <w:r>
        <w:rPr>
          <w:rFonts w:hint="eastAsia" w:ascii="宋体" w:hAnsi="宋体" w:eastAsia="宋体" w:cs="宋体"/>
          <w:b/>
          <w:bCs w:val="0"/>
          <w:sz w:val="24"/>
          <w:szCs w:val="24"/>
        </w:rPr>
        <w:t>四、响应文件提交</w:t>
      </w:r>
      <w:bookmarkEnd w:id="21"/>
      <w:bookmarkEnd w:id="22"/>
      <w:bookmarkEnd w:id="23"/>
      <w:bookmarkEnd w:id="24"/>
      <w:bookmarkEnd w:id="25"/>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sz w:val="24"/>
          <w:szCs w:val="24"/>
          <w:u w:val="single"/>
        </w:rPr>
      </w:pP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r>
        <w:rPr>
          <w:rFonts w:hint="eastAsia" w:ascii="宋体" w:hAnsi="宋体" w:eastAsia="宋体" w:cs="宋体"/>
          <w:iCs/>
          <w:sz w:val="24"/>
          <w:szCs w:val="24"/>
          <w:u w:val="single"/>
        </w:rPr>
        <w:t>（</w:t>
      </w:r>
      <w:r>
        <w:rPr>
          <w:rFonts w:hint="eastAsia" w:ascii="宋体" w:hAnsi="宋体" w:eastAsia="宋体" w:cs="宋体"/>
          <w:i/>
          <w:sz w:val="24"/>
          <w:szCs w:val="24"/>
          <w:u w:val="single"/>
        </w:rPr>
        <w:t>从磋商文件开始发出之日起至供应商提交首次响应文件截止之日止不得少于10日</w:t>
      </w:r>
      <w:r>
        <w:rPr>
          <w:rFonts w:hint="eastAsia" w:ascii="宋体" w:hAnsi="宋体" w:eastAsia="宋体" w:cs="宋体"/>
          <w:iCs/>
          <w:sz w:val="24"/>
          <w:szCs w:val="24"/>
          <w:u w:val="singl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26" w:name="_Toc35393633"/>
      <w:bookmarkStart w:id="27" w:name="_Toc28359016"/>
      <w:bookmarkStart w:id="28" w:name="_Toc28359093"/>
      <w:bookmarkStart w:id="29" w:name="_Toc35393802"/>
      <w:bookmarkStart w:id="30" w:name="_Toc32658"/>
      <w:r>
        <w:rPr>
          <w:rFonts w:hint="eastAsia" w:ascii="宋体" w:hAnsi="宋体" w:eastAsia="宋体" w:cs="宋体"/>
          <w:b/>
          <w:bCs w:val="0"/>
          <w:sz w:val="24"/>
          <w:szCs w:val="24"/>
        </w:rPr>
        <w:t>五、开启</w:t>
      </w:r>
      <w:bookmarkEnd w:id="26"/>
      <w:bookmarkEnd w:id="27"/>
      <w:bookmarkEnd w:id="28"/>
      <w:bookmarkEnd w:id="29"/>
      <w:bookmarkEnd w:id="30"/>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sz w:val="24"/>
          <w:szCs w:val="24"/>
          <w:u w:val="single"/>
        </w:rPr>
      </w:pPr>
      <w:r>
        <w:rPr>
          <w:rFonts w:hint="eastAsia" w:ascii="宋体" w:hAnsi="宋体" w:eastAsia="宋体" w:cs="宋体"/>
          <w:sz w:val="24"/>
          <w:szCs w:val="24"/>
        </w:rPr>
        <w:t>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sz w:val="24"/>
          <w:szCs w:val="24"/>
          <w:u w:val="single"/>
        </w:rPr>
      </w:pPr>
      <w:r>
        <w:rPr>
          <w:rFonts w:hint="eastAsia" w:ascii="宋体" w:hAnsi="宋体" w:eastAsia="宋体" w:cs="宋体"/>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31" w:name="_Toc28359094"/>
      <w:bookmarkStart w:id="32" w:name="_Toc35393634"/>
      <w:bookmarkStart w:id="33" w:name="_Toc28359017"/>
      <w:bookmarkStart w:id="34" w:name="_Toc35393803"/>
      <w:bookmarkStart w:id="35" w:name="_Toc6935"/>
      <w:r>
        <w:rPr>
          <w:rFonts w:hint="eastAsia" w:ascii="宋体" w:hAnsi="宋体" w:eastAsia="宋体" w:cs="宋体"/>
          <w:b/>
          <w:bCs w:val="0"/>
          <w:sz w:val="24"/>
          <w:szCs w:val="24"/>
        </w:rPr>
        <w:t>六、公告期限</w:t>
      </w:r>
      <w:bookmarkEnd w:id="31"/>
      <w:bookmarkEnd w:id="32"/>
      <w:bookmarkEnd w:id="33"/>
      <w:bookmarkEnd w:id="34"/>
      <w:bookmarkEnd w:id="35"/>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自本公告发布之日起3个工作日。</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36" w:name="_Toc35393635"/>
      <w:bookmarkStart w:id="37" w:name="_Toc35393804"/>
      <w:bookmarkStart w:id="38" w:name="_Toc23004"/>
      <w:r>
        <w:rPr>
          <w:rFonts w:hint="eastAsia" w:ascii="宋体" w:hAnsi="宋体" w:eastAsia="宋体" w:cs="宋体"/>
          <w:b/>
          <w:bCs w:val="0"/>
          <w:sz w:val="24"/>
          <w:szCs w:val="24"/>
        </w:rPr>
        <w:t>七、其他补充事宜</w:t>
      </w:r>
      <w:bookmarkEnd w:id="36"/>
      <w:bookmarkEnd w:id="37"/>
      <w:bookmarkEnd w:id="3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8"/>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39" w:name="_Toc35393805"/>
      <w:bookmarkStart w:id="40" w:name="_Toc28359095"/>
      <w:bookmarkStart w:id="41" w:name="_Toc35393636"/>
      <w:bookmarkStart w:id="42" w:name="_Toc28359018"/>
      <w:bookmarkStart w:id="43" w:name="_Toc28099"/>
      <w:r>
        <w:rPr>
          <w:rFonts w:hint="eastAsia" w:ascii="宋体" w:hAnsi="宋体" w:eastAsia="宋体" w:cs="宋体"/>
          <w:b/>
          <w:bCs w:val="0"/>
          <w:sz w:val="24"/>
          <w:szCs w:val="24"/>
        </w:rPr>
        <w:t>八、凡对本次采购提出询问，请按以下方式联系。</w:t>
      </w:r>
      <w:bookmarkEnd w:id="39"/>
      <w:bookmarkEnd w:id="40"/>
      <w:bookmarkEnd w:id="41"/>
      <w:bookmarkEnd w:id="42"/>
      <w:bookmarkEnd w:id="43"/>
    </w:p>
    <w:p>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rPr>
          <w:rFonts w:hint="eastAsia" w:ascii="宋体" w:hAnsi="宋体" w:eastAsia="宋体" w:cs="宋体"/>
          <w:b w:val="0"/>
          <w:sz w:val="24"/>
          <w:szCs w:val="24"/>
        </w:rPr>
      </w:pPr>
      <w:bookmarkStart w:id="44" w:name="_Toc35393806"/>
      <w:bookmarkStart w:id="45" w:name="_Toc28359019"/>
      <w:bookmarkStart w:id="46" w:name="_Toc35393637"/>
      <w:bookmarkStart w:id="47" w:name="_Toc28359096"/>
      <w:bookmarkStart w:id="48" w:name="_Toc29915"/>
      <w:r>
        <w:rPr>
          <w:rFonts w:hint="eastAsia" w:ascii="宋体" w:hAnsi="宋体" w:eastAsia="宋体" w:cs="宋体"/>
          <w:b w:val="0"/>
          <w:sz w:val="24"/>
          <w:szCs w:val="24"/>
        </w:rPr>
        <w:t>1.采购人信息</w:t>
      </w:r>
      <w:bookmarkEnd w:id="44"/>
      <w:bookmarkEnd w:id="45"/>
      <w:bookmarkEnd w:id="46"/>
      <w:bookmarkEnd w:id="47"/>
      <w:bookmarkEnd w:id="48"/>
    </w:p>
    <w:p>
      <w:pPr>
        <w:spacing w:line="360" w:lineRule="auto"/>
        <w:ind w:firstLine="435"/>
        <w:rPr>
          <w:rFonts w:ascii="宋体" w:hAnsi="宋体" w:eastAsia="宋体"/>
          <w:color w:val="auto"/>
          <w:sz w:val="24"/>
          <w:szCs w:val="18"/>
          <w:highlight w:val="none"/>
        </w:rPr>
      </w:pPr>
      <w:bookmarkStart w:id="49" w:name="_Toc35393807"/>
      <w:bookmarkStart w:id="50" w:name="_Toc35393638"/>
      <w:bookmarkStart w:id="51" w:name="_Toc28359097"/>
      <w:bookmarkStart w:id="52" w:name="_Toc28359020"/>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rPr>
          <w:rFonts w:hint="eastAsia" w:ascii="宋体" w:hAnsi="宋体" w:eastAsia="宋体" w:cs="宋体"/>
          <w:b w:val="0"/>
          <w:sz w:val="24"/>
          <w:szCs w:val="24"/>
        </w:rPr>
      </w:pPr>
      <w:bookmarkStart w:id="53" w:name="_Toc15577"/>
      <w:r>
        <w:rPr>
          <w:rFonts w:hint="eastAsia" w:ascii="宋体" w:hAnsi="宋体" w:eastAsia="宋体" w:cs="宋体"/>
          <w:b w:val="0"/>
          <w:sz w:val="24"/>
          <w:szCs w:val="24"/>
        </w:rPr>
        <w:t>2.采购代理机构信息</w:t>
      </w:r>
      <w:bookmarkEnd w:id="49"/>
      <w:bookmarkEnd w:id="50"/>
      <w:bookmarkEnd w:id="51"/>
      <w:bookmarkEnd w:id="52"/>
      <w:bookmarkEnd w:id="53"/>
    </w:p>
    <w:p>
      <w:pPr>
        <w:spacing w:line="360" w:lineRule="auto"/>
        <w:ind w:firstLine="435"/>
        <w:rPr>
          <w:rFonts w:ascii="宋体" w:hAnsi="宋体" w:eastAsia="宋体"/>
          <w:color w:val="auto"/>
          <w:sz w:val="24"/>
          <w:szCs w:val="18"/>
          <w:highlight w:val="none"/>
        </w:rPr>
      </w:pPr>
      <w:bookmarkStart w:id="54" w:name="_Toc28359021"/>
      <w:bookmarkStart w:id="55" w:name="_Toc35393639"/>
      <w:bookmarkStart w:id="56" w:name="_Toc28359098"/>
      <w:bookmarkStart w:id="57" w:name="_Toc35393808"/>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bookmarkEnd w:id="54"/>
    <w:bookmarkEnd w:id="55"/>
    <w:bookmarkEnd w:id="56"/>
    <w:bookmarkEnd w:id="57"/>
    <w:p>
      <w:pPr>
        <w:spacing w:line="360" w:lineRule="auto"/>
        <w:ind w:firstLine="437"/>
        <w:outlineLvl w:val="9"/>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ascii="宋体" w:hAnsi="宋体" w:eastAsia="宋体"/>
          <w:color w:val="auto"/>
          <w:sz w:val="24"/>
          <w:szCs w:val="1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58" w:name="_Toc7162"/>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供应商</w:t>
      </w:r>
      <w:r>
        <w:rPr>
          <w:rFonts w:asciiTheme="minorEastAsia" w:hAnsiTheme="minorEastAsia" w:eastAsiaTheme="minorEastAsia"/>
          <w:b/>
          <w:color w:val="auto"/>
          <w:sz w:val="28"/>
          <w:highlight w:val="none"/>
        </w:rPr>
        <w:t>须知</w:t>
      </w:r>
      <w:bookmarkEnd w:id="58"/>
    </w:p>
    <w:p>
      <w:pPr>
        <w:spacing w:line="360" w:lineRule="auto"/>
        <w:jc w:val="center"/>
        <w:outlineLvl w:val="1"/>
        <w:rPr>
          <w:rFonts w:asciiTheme="minorEastAsia" w:hAnsiTheme="minorEastAsia" w:eastAsiaTheme="minorEastAsia"/>
          <w:b/>
          <w:color w:val="auto"/>
          <w:sz w:val="24"/>
          <w:highlight w:val="none"/>
        </w:rPr>
      </w:pPr>
      <w:bookmarkStart w:id="59" w:name="_Toc11709"/>
      <w:bookmarkStart w:id="60" w:name="_Toc11383"/>
      <w:r>
        <w:rPr>
          <w:rFonts w:hint="eastAsia" w:asciiTheme="minorEastAsia" w:hAnsiTheme="minorEastAsia" w:eastAsiaTheme="minorEastAsia"/>
          <w:b/>
          <w:color w:val="auto"/>
          <w:sz w:val="24"/>
          <w:highlight w:val="none"/>
        </w:rPr>
        <w:t>一、供应商</w:t>
      </w:r>
      <w:r>
        <w:rPr>
          <w:rFonts w:asciiTheme="minorEastAsia" w:hAnsiTheme="minorEastAsia" w:eastAsiaTheme="minorEastAsia"/>
          <w:b/>
          <w:color w:val="auto"/>
          <w:sz w:val="24"/>
          <w:highlight w:val="none"/>
        </w:rPr>
        <w:t>须知前附表</w:t>
      </w:r>
      <w:bookmarkEnd w:id="59"/>
      <w:bookmarkEnd w:id="60"/>
    </w:p>
    <w:p>
      <w:pPr>
        <w:spacing w:line="360" w:lineRule="auto"/>
        <w:ind w:firstLine="435"/>
        <w:rPr>
          <w:rFonts w:ascii="宋体" w:hAnsi="宋体" w:eastAsia="宋体"/>
          <w:color w:val="auto"/>
          <w:sz w:val="24"/>
          <w:szCs w:val="18"/>
          <w:highlight w:val="none"/>
        </w:rPr>
      </w:pPr>
      <w:r>
        <w:rPr>
          <w:rFonts w:hint="eastAsia" w:ascii="宋体" w:hAnsi="宋体" w:eastAsia="宋体"/>
          <w:b/>
          <w:bCs/>
          <w:color w:val="auto"/>
          <w:sz w:val="24"/>
          <w:szCs w:val="18"/>
          <w:highlight w:val="none"/>
        </w:rPr>
        <w:t>注：</w:t>
      </w:r>
      <w:r>
        <w:rPr>
          <w:rFonts w:hint="eastAsia" w:ascii="宋体" w:hAnsi="宋体" w:eastAsia="宋体"/>
          <w:color w:val="auto"/>
          <w:sz w:val="24"/>
          <w:szCs w:val="18"/>
          <w:highlight w:val="none"/>
        </w:rPr>
        <w:t>本表是本项目的具体要求，是对供应商须知的具体补充和修改，如有不一致，以本表为准。</w:t>
      </w:r>
    </w:p>
    <w:tbl>
      <w:tblPr>
        <w:tblStyle w:val="20"/>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0"/>
        <w:gridCol w:w="2227"/>
        <w:gridCol w:w="6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7"/>
              <w:widowControl w:val="0"/>
              <w:spacing w:before="0" w:beforeAutospacing="0" w:after="0" w:afterAutospacing="0" w:line="360" w:lineRule="auto"/>
              <w:rPr>
                <w:rFonts w:ascii="宋体" w:hAnsi="宋体" w:eastAsia="宋体"/>
                <w:bCs w:val="0"/>
                <w:color w:val="auto"/>
                <w:kern w:val="2"/>
                <w:sz w:val="24"/>
                <w:szCs w:val="20"/>
                <w:highlight w:val="yellow"/>
              </w:rPr>
            </w:pPr>
            <w:r>
              <w:rPr>
                <w:rFonts w:hint="eastAsia" w:ascii="宋体" w:hAnsi="宋体" w:eastAsia="宋体"/>
                <w:bCs w:val="0"/>
                <w:color w:val="auto"/>
                <w:kern w:val="2"/>
                <w:sz w:val="24"/>
                <w:szCs w:val="20"/>
                <w:highlight w:val="none"/>
              </w:rPr>
              <w:t>条款号</w:t>
            </w:r>
          </w:p>
        </w:tc>
        <w:tc>
          <w:tcPr>
            <w:tcW w:w="1160" w:type="pct"/>
            <w:vAlign w:val="center"/>
          </w:tcPr>
          <w:p>
            <w:pPr>
              <w:pStyle w:val="37"/>
              <w:widowControl w:val="0"/>
              <w:spacing w:before="0" w:beforeAutospacing="0" w:after="0" w:afterAutospacing="0" w:line="360" w:lineRule="auto"/>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条款名称</w:t>
            </w:r>
          </w:p>
        </w:tc>
        <w:tc>
          <w:tcPr>
            <w:tcW w:w="3267" w:type="pct"/>
            <w:vAlign w:val="center"/>
          </w:tcPr>
          <w:p>
            <w:pPr>
              <w:pStyle w:val="37"/>
              <w:widowControl w:val="0"/>
              <w:spacing w:before="0" w:beforeAutospacing="0" w:after="0" w:afterAutospacing="0" w:line="360" w:lineRule="auto"/>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5</w:t>
            </w:r>
            <w:r>
              <w:rPr>
                <w:rFonts w:ascii="宋体" w:hAnsi="宋体" w:eastAsia="宋体"/>
                <w:bCs/>
                <w:color w:val="auto"/>
                <w:kern w:val="2"/>
                <w:highlight w:val="none"/>
              </w:rPr>
              <w:t>.3</w:t>
            </w:r>
          </w:p>
        </w:tc>
        <w:tc>
          <w:tcPr>
            <w:tcW w:w="1160" w:type="pct"/>
            <w:vAlign w:val="center"/>
          </w:tcPr>
          <w:p>
            <w:pPr>
              <w:pStyle w:val="37"/>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现场考察</w:t>
            </w:r>
          </w:p>
        </w:tc>
        <w:tc>
          <w:tcPr>
            <w:tcW w:w="3267" w:type="pct"/>
            <w:vAlign w:val="center"/>
          </w:tcPr>
          <w:p>
            <w:pPr>
              <w:spacing w:line="360" w:lineRule="auto"/>
              <w:rPr>
                <w:rFonts w:ascii="宋体" w:hAnsi="宋体" w:eastAsia="宋体"/>
                <w:bCs/>
                <w:color w:val="auto"/>
                <w:sz w:val="24"/>
                <w:highlight w:val="none"/>
              </w:rPr>
            </w:pPr>
            <w:r>
              <w:rPr>
                <w:rFonts w:ascii="宋体" w:hAnsi="宋体" w:eastAsia="宋体"/>
                <w:bCs/>
                <w:color w:val="auto"/>
                <w:sz w:val="24"/>
                <w:szCs w:val="24"/>
                <w:highlight w:val="none"/>
              </w:rPr>
              <w:t>□</w:t>
            </w:r>
            <w:r>
              <w:rPr>
                <w:rFonts w:hint="eastAsia" w:ascii="宋体" w:hAnsi="宋体" w:eastAsia="宋体"/>
                <w:color w:val="auto"/>
                <w:sz w:val="24"/>
                <w:highlight w:val="none"/>
              </w:rPr>
              <w:t>不组织，供应商</w:t>
            </w:r>
            <w:r>
              <w:rPr>
                <w:rFonts w:hint="eastAsia" w:ascii="宋体" w:hAnsi="宋体" w:eastAsia="宋体"/>
                <w:bCs/>
                <w:color w:val="auto"/>
                <w:sz w:val="24"/>
                <w:highlight w:val="none"/>
              </w:rPr>
              <w:t>自行考察</w:t>
            </w:r>
          </w:p>
          <w:p>
            <w:pPr>
              <w:spacing w:line="360" w:lineRule="auto"/>
              <w:rPr>
                <w:rFonts w:ascii="宋体" w:hAnsi="宋体" w:eastAsia="宋体"/>
                <w:bCs/>
                <w:color w:val="auto"/>
                <w:sz w:val="24"/>
                <w:highlight w:val="none"/>
              </w:rPr>
            </w:pPr>
            <w:r>
              <w:rPr>
                <w:rFonts w:hint="eastAsia" w:ascii="宋体" w:hAnsi="宋体" w:eastAsia="宋体"/>
                <w:color w:val="auto"/>
                <w:sz w:val="24"/>
                <w:highlight w:val="none"/>
              </w:rPr>
              <w:t>□</w:t>
            </w:r>
            <w:r>
              <w:rPr>
                <w:rFonts w:hint="eastAsia" w:ascii="宋体" w:hAnsi="宋体" w:eastAsia="宋体"/>
                <w:bCs/>
                <w:color w:val="auto"/>
                <w:sz w:val="24"/>
                <w:highlight w:val="none"/>
              </w:rPr>
              <w:t>统一组织</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时间：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月</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日</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时</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分</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地点：</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现场考察联系人及联系电话：</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pStyle w:val="37"/>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如供应商未参加采购人统一组织的现场考察，视同放弃现场考察，由此引起的一切责任由供应商自行承担。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6</w:t>
            </w:r>
            <w:r>
              <w:rPr>
                <w:rFonts w:ascii="宋体" w:hAnsi="宋体" w:eastAsia="宋体"/>
                <w:bCs/>
                <w:color w:val="auto"/>
                <w:kern w:val="2"/>
                <w:highlight w:val="none"/>
              </w:rPr>
              <w:t>.1</w:t>
            </w:r>
          </w:p>
        </w:tc>
        <w:tc>
          <w:tcPr>
            <w:tcW w:w="1160" w:type="pct"/>
            <w:vAlign w:val="center"/>
          </w:tcPr>
          <w:p>
            <w:pPr>
              <w:pStyle w:val="37"/>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网上询问截止时间</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年</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月</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日</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时</w:t>
            </w:r>
            <w:r>
              <w:rPr>
                <w:rFonts w:ascii="宋体" w:hAnsi="宋体" w:eastAsia="宋体"/>
                <w:b w:val="0"/>
                <w:color w:val="auto"/>
                <w:sz w:val="24"/>
                <w:highlight w:val="none"/>
                <w:u w:val="single"/>
              </w:rPr>
              <w:t xml:space="preserve">  </w:t>
            </w:r>
            <w:r>
              <w:rPr>
                <w:rFonts w:hint="eastAsia" w:ascii="宋体" w:hAnsi="宋体" w:eastAsia="宋体"/>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7.1</w:t>
            </w:r>
          </w:p>
        </w:tc>
        <w:tc>
          <w:tcPr>
            <w:tcW w:w="1160" w:type="pct"/>
            <w:vAlign w:val="center"/>
          </w:tcPr>
          <w:p>
            <w:pPr>
              <w:pStyle w:val="37"/>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包别划分</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bCs w:val="0"/>
                <w:color w:val="auto"/>
                <w:sz w:val="24"/>
                <w:szCs w:val="24"/>
                <w:highlight w:val="none"/>
              </w:rPr>
              <w:t>□</w:t>
            </w:r>
            <w:r>
              <w:rPr>
                <w:rFonts w:ascii="宋体" w:hAnsi="宋体" w:eastAsia="宋体"/>
                <w:b w:val="0"/>
                <w:color w:val="auto"/>
                <w:sz w:val="24"/>
                <w:highlight w:val="none"/>
              </w:rPr>
              <w:t>不分包     □分为  个包</w:t>
            </w:r>
          </w:p>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val="0"/>
                <w:color w:val="auto"/>
                <w:sz w:val="24"/>
                <w:szCs w:val="24"/>
                <w:highlight w:val="none"/>
              </w:rPr>
              <w:t>供应商参加多个包磋商的成交</w:t>
            </w:r>
            <w:r>
              <w:rPr>
                <w:rFonts w:ascii="宋体" w:hAnsi="宋体" w:eastAsia="宋体"/>
                <w:b w:val="0"/>
                <w:bCs w:val="0"/>
                <w:color w:val="auto"/>
                <w:sz w:val="24"/>
                <w:szCs w:val="24"/>
                <w:highlight w:val="none"/>
              </w:rPr>
              <w:t>包</w:t>
            </w:r>
            <w:r>
              <w:rPr>
                <w:rFonts w:hint="eastAsia" w:ascii="宋体" w:hAnsi="宋体" w:eastAsia="宋体"/>
                <w:b w:val="0"/>
                <w:bCs w:val="0"/>
                <w:color w:val="auto"/>
                <w:sz w:val="24"/>
                <w:szCs w:val="24"/>
                <w:highlight w:val="none"/>
              </w:rPr>
              <w:t>数规定：</w:t>
            </w:r>
            <w:r>
              <w:rPr>
                <w:rFonts w:hint="eastAsia" w:ascii="宋体" w:hAnsi="宋体" w:eastAsia="宋体"/>
                <w:b w:val="0"/>
                <w:bCs w:val="0"/>
                <w:color w:val="auto"/>
                <w:sz w:val="24"/>
                <w:szCs w:val="18"/>
                <w:highlight w:val="none"/>
                <w:u w:val="single"/>
              </w:rPr>
              <w:t xml:space="preserve"> </w:t>
            </w:r>
            <w:r>
              <w:rPr>
                <w:rFonts w:ascii="宋体" w:hAnsi="宋体" w:eastAsia="宋体"/>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10.1</w:t>
            </w:r>
          </w:p>
        </w:tc>
        <w:tc>
          <w:tcPr>
            <w:tcW w:w="1160" w:type="pct"/>
            <w:vAlign w:val="center"/>
          </w:tcPr>
          <w:p>
            <w:pPr>
              <w:pStyle w:val="37"/>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磋商保证金</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sym w:font="Wingdings" w:char="F0FE"/>
            </w:r>
            <w:r>
              <w:rPr>
                <w:rFonts w:hint="eastAsia" w:ascii="宋体" w:hAnsi="宋体" w:eastAsia="宋体"/>
                <w:b w:val="0"/>
                <w:color w:val="auto"/>
                <w:sz w:val="24"/>
                <w:highlight w:val="none"/>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11</w:t>
            </w:r>
            <w:r>
              <w:rPr>
                <w:rFonts w:ascii="宋体" w:hAnsi="宋体" w:eastAsia="宋体"/>
                <w:bCs/>
                <w:color w:val="auto"/>
                <w:kern w:val="2"/>
                <w:highlight w:val="none"/>
              </w:rPr>
              <w:t>.1</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磋商有效期</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12</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3</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响应文件解密时间</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none"/>
              </w:rPr>
              <w:t>响应文件提交截止时间后</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14.2</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评审方法</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bCs w:val="0"/>
                <w:color w:val="auto"/>
                <w:sz w:val="24"/>
                <w:szCs w:val="24"/>
                <w:highlight w:val="none"/>
              </w:rPr>
              <w:sym w:font="Wingdings 2" w:char="0052"/>
            </w:r>
            <w:r>
              <w:rPr>
                <w:rFonts w:hint="eastAsia" w:ascii="宋体" w:hAnsi="宋体" w:eastAsia="宋体"/>
                <w:b w:val="0"/>
                <w:color w:val="auto"/>
                <w:sz w:val="24"/>
                <w:highlight w:val="none"/>
                <w:u w:val="none"/>
              </w:rPr>
              <w:t>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17.4</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最后报价扣除</w:t>
            </w:r>
          </w:p>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i/>
                <w:color w:val="auto"/>
                <w:sz w:val="24"/>
                <w:highlight w:val="none"/>
              </w:rPr>
              <w:t>（非专门面向中小企业采购项目适用）</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37"/>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Merge w:val="restart"/>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19</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1</w:t>
            </w:r>
          </w:p>
        </w:tc>
        <w:tc>
          <w:tcPr>
            <w:tcW w:w="1160" w:type="pct"/>
            <w:vMerge w:val="restar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Theme="minorEastAsia" w:hAnsiTheme="minorEastAsia" w:eastAsiaTheme="minorEastAsia"/>
                <w:b w:val="0"/>
                <w:color w:val="auto"/>
                <w:sz w:val="24"/>
                <w:highlight w:val="none"/>
              </w:rPr>
              <w:t>确定成交候选供应商和成交供应商</w:t>
            </w:r>
          </w:p>
        </w:tc>
        <w:tc>
          <w:tcPr>
            <w:tcW w:w="3267" w:type="pct"/>
            <w:vAlign w:val="center"/>
          </w:tcPr>
          <w:p>
            <w:pPr>
              <w:pStyle w:val="37"/>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rPr>
              <w:t>磋商小组推荐成交</w:t>
            </w:r>
            <w:r>
              <w:rPr>
                <w:rFonts w:ascii="宋体" w:hAnsi="宋体" w:eastAsia="宋体"/>
                <w:b w:val="0"/>
                <w:color w:val="auto"/>
                <w:sz w:val="24"/>
                <w:highlight w:val="none"/>
              </w:rPr>
              <w:t>候选</w:t>
            </w:r>
            <w:r>
              <w:rPr>
                <w:rFonts w:hint="eastAsia" w:ascii="宋体" w:hAnsi="宋体" w:eastAsia="宋体"/>
                <w:b w:val="0"/>
                <w:color w:val="auto"/>
                <w:sz w:val="24"/>
                <w:highlight w:val="none"/>
              </w:rPr>
              <w:t>供应商的</w:t>
            </w:r>
            <w:r>
              <w:rPr>
                <w:rFonts w:ascii="宋体" w:hAnsi="宋体" w:eastAsia="宋体"/>
                <w:b w:val="0"/>
                <w:color w:val="auto"/>
                <w:sz w:val="24"/>
                <w:highlight w:val="none"/>
              </w:rPr>
              <w:t>数</w:t>
            </w:r>
            <w:r>
              <w:rPr>
                <w:rFonts w:hint="eastAsia" w:ascii="宋体" w:hAnsi="宋体" w:eastAsia="宋体"/>
                <w:b w:val="0"/>
                <w:color w:val="auto"/>
                <w:sz w:val="24"/>
                <w:highlight w:val="none"/>
              </w:rPr>
              <w:t>量：3家</w:t>
            </w:r>
            <w:r>
              <w:rPr>
                <w:rFonts w:hint="eastAsia" w:ascii="宋体" w:hAnsi="宋体" w:eastAsia="宋体"/>
                <w:b w:val="0"/>
                <w:color w:val="auto"/>
                <w:sz w:val="24"/>
                <w:highlight w:val="none"/>
                <w:lang w:val="en-US" w:eastAsia="zh-CN"/>
              </w:rPr>
              <w:t>以上</w:t>
            </w:r>
          </w:p>
          <w:p>
            <w:pPr>
              <w:pStyle w:val="37"/>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u w:val="single"/>
                <w:lang w:val="en-US" w:eastAsia="zh-CN" w:bidi="ar-SA"/>
              </w:rPr>
            </w:pPr>
            <w:r>
              <w:rPr>
                <w:rFonts w:hint="eastAsia" w:ascii="宋体" w:hAnsi="宋体" w:eastAsia="宋体"/>
                <w:b w:val="0"/>
                <w:color w:val="auto"/>
                <w:sz w:val="24"/>
                <w:highlight w:val="none"/>
                <w:lang w:val="en-US" w:eastAsia="zh-CN"/>
              </w:rPr>
              <w:t>注：法律、法规另有规定的，从其规定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Merge w:val="continue"/>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p>
        </w:tc>
        <w:tc>
          <w:tcPr>
            <w:tcW w:w="1160" w:type="pct"/>
            <w:vMerge w:val="continue"/>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确定成交供应商：</w:t>
            </w:r>
          </w:p>
          <w:p>
            <w:pPr>
              <w:pStyle w:val="37"/>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bCs/>
                <w:color w:val="auto"/>
                <w:sz w:val="24"/>
                <w:highlight w:val="none"/>
              </w:rPr>
              <w:sym w:font="Wingdings" w:char="00A8"/>
            </w:r>
            <w:r>
              <w:rPr>
                <w:rFonts w:hint="eastAsia" w:ascii="宋体" w:hAnsi="宋体" w:eastAsia="宋体"/>
                <w:b w:val="0"/>
                <w:color w:val="auto"/>
                <w:sz w:val="24"/>
                <w:highlight w:val="none"/>
              </w:rPr>
              <w:t xml:space="preserve">采购人委托磋商小组确定 </w:t>
            </w:r>
            <w:r>
              <w:rPr>
                <w:rFonts w:ascii="宋体" w:hAnsi="宋体" w:eastAsia="宋体"/>
                <w:b w:val="0"/>
                <w:color w:val="auto"/>
                <w:sz w:val="24"/>
                <w:highlight w:val="none"/>
              </w:rPr>
              <w:t xml:space="preserve">   </w:t>
            </w:r>
            <w:r>
              <w:rPr>
                <w:rFonts w:hint="eastAsia" w:ascii="宋体" w:hAnsi="宋体" w:eastAsia="宋体"/>
                <w:b w:val="0"/>
                <w:color w:val="auto"/>
                <w:sz w:val="24"/>
                <w:highlight w:val="none"/>
              </w:rPr>
              <w:t xml:space="preserve"> □采购人确定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22</w:t>
            </w:r>
            <w:r>
              <w:rPr>
                <w:rFonts w:ascii="宋体" w:hAnsi="宋体" w:eastAsia="宋体"/>
                <w:bCs/>
                <w:color w:val="auto"/>
                <w:kern w:val="2"/>
                <w:highlight w:val="none"/>
              </w:rPr>
              <w:t>.</w:t>
            </w:r>
            <w:r>
              <w:rPr>
                <w:rFonts w:hint="eastAsia" w:ascii="宋体" w:hAnsi="宋体" w:eastAsia="宋体"/>
                <w:bCs/>
                <w:color w:val="auto"/>
                <w:kern w:val="2"/>
                <w:highlight w:val="none"/>
              </w:rPr>
              <w:t>2</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随成交结果公告同时公告的成交供应商的响应文件内容</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1</w:t>
            </w:r>
            <w:r>
              <w:rPr>
                <w:rFonts w:hint="eastAsia" w:ascii="宋体" w:hAnsi="宋体" w:eastAsia="宋体"/>
                <w:b w:val="0"/>
                <w:color w:val="auto"/>
                <w:sz w:val="24"/>
                <w:highlight w:val="none"/>
                <w:u w:val="none"/>
              </w:rPr>
              <w:t>）中小企业声明函；</w:t>
            </w:r>
            <w:r>
              <w:rPr>
                <w:rFonts w:hint="eastAsia" w:ascii="宋体" w:hAnsi="宋体" w:eastAsia="宋体"/>
                <w:b w:val="0"/>
                <w:i/>
                <w:iCs/>
                <w:color w:val="auto"/>
                <w:sz w:val="24"/>
                <w:highlight w:val="none"/>
                <w:u w:val="none"/>
              </w:rPr>
              <w:t>（如有）</w:t>
            </w:r>
          </w:p>
          <w:p>
            <w:pPr>
              <w:pStyle w:val="37"/>
              <w:widowControl w:val="0"/>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pPr>
              <w:pStyle w:val="37"/>
              <w:widowControl w:val="0"/>
              <w:spacing w:before="0" w:beforeAutospacing="0" w:after="0" w:afterAutospacing="0" w:line="360" w:lineRule="auto"/>
              <w:jc w:val="both"/>
              <w:rPr>
                <w:rFonts w:hint="eastAsia" w:ascii="宋体" w:hAnsi="宋体" w:eastAsia="宋体"/>
                <w:b w:val="0"/>
                <w:i/>
                <w:iCs/>
                <w:color w:val="auto"/>
                <w:sz w:val="24"/>
                <w:highlight w:val="none"/>
                <w:u w:val="none"/>
                <w:lang w:eastAsia="zh-CN"/>
              </w:rPr>
            </w:pP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lang w:val="en-US" w:eastAsia="zh-CN"/>
              </w:rPr>
              <w:t>3</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供应商的评审总得分</w:t>
            </w:r>
            <w:r>
              <w:rPr>
                <w:rFonts w:hint="eastAsia" w:ascii="宋体" w:hAnsi="宋体" w:eastAsia="宋体"/>
                <w:b w:val="0"/>
                <w:color w:val="auto"/>
                <w:sz w:val="24"/>
                <w:highlight w:val="none"/>
                <w:u w:val="none"/>
                <w:lang w:eastAsia="zh-CN"/>
              </w:rPr>
              <w:t>；</w:t>
            </w:r>
          </w:p>
          <w:p>
            <w:pPr>
              <w:pStyle w:val="37"/>
              <w:widowControl w:val="0"/>
              <w:spacing w:before="0" w:beforeAutospacing="0" w:after="0" w:afterAutospacing="0" w:line="360" w:lineRule="auto"/>
              <w:jc w:val="both"/>
              <w:rPr>
                <w:rFonts w:ascii="宋体" w:hAnsi="宋体" w:eastAsia="宋体" w:cs="@仿宋_GB2312"/>
                <w:b w:val="0"/>
                <w:bCs w:val="0"/>
                <w:color w:val="auto"/>
                <w:kern w:val="0"/>
                <w:sz w:val="24"/>
                <w:szCs w:val="24"/>
                <w:highlight w:val="none"/>
                <w:lang w:val="en-US" w:eastAsia="zh-CN" w:bidi="ar-SA"/>
              </w:rPr>
            </w:pP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lang w:val="en-US" w:eastAsia="zh-CN"/>
              </w:rPr>
              <w:t>4</w:t>
            </w: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3</w:t>
            </w:r>
            <w:r>
              <w:rPr>
                <w:rFonts w:ascii="宋体" w:hAnsi="宋体" w:eastAsia="宋体"/>
                <w:bCs/>
                <w:color w:val="auto"/>
                <w:kern w:val="2"/>
                <w:highlight w:val="none"/>
              </w:rPr>
              <w:t>.1</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成交通知书发出的形式</w:t>
            </w:r>
          </w:p>
        </w:tc>
        <w:tc>
          <w:tcPr>
            <w:tcW w:w="3267" w:type="pct"/>
            <w:vAlign w:val="center"/>
          </w:tcPr>
          <w:p>
            <w:pPr>
              <w:pStyle w:val="37"/>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 xml:space="preserve">□书面 </w:t>
            </w:r>
            <w:r>
              <w:rPr>
                <w:rFonts w:ascii="宋体" w:hAnsi="宋体" w:eastAsia="宋体"/>
                <w:b w:val="0"/>
                <w:color w:val="auto"/>
                <w:sz w:val="24"/>
                <w:highlight w:val="none"/>
              </w:rPr>
              <w:t xml:space="preserve">    </w:t>
            </w:r>
            <w:r>
              <w:rPr>
                <w:rFonts w:hint="eastAsia" w:ascii="宋体" w:hAnsi="宋体" w:eastAsia="宋体"/>
                <w:b w:val="0"/>
                <w:bCs w:val="0"/>
                <w:color w:val="auto"/>
                <w:sz w:val="24"/>
                <w:szCs w:val="24"/>
                <w:highlight w:val="none"/>
              </w:rPr>
              <w:sym w:font="Wingdings" w:char="00A8"/>
            </w:r>
            <w:r>
              <w:rPr>
                <w:rFonts w:hint="eastAsia" w:ascii="宋体" w:hAnsi="宋体" w:eastAsia="宋体"/>
                <w:b w:val="0"/>
                <w:color w:val="auto"/>
                <w:sz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24</w:t>
            </w:r>
            <w:r>
              <w:rPr>
                <w:rFonts w:ascii="宋体" w:hAnsi="宋体" w:eastAsia="宋体"/>
                <w:bCs/>
                <w:color w:val="auto"/>
                <w:kern w:val="2"/>
                <w:highlight w:val="none"/>
              </w:rPr>
              <w:t>.1</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告知磋商结果的形式</w:t>
            </w:r>
          </w:p>
        </w:tc>
        <w:tc>
          <w:tcPr>
            <w:tcW w:w="3267" w:type="pct"/>
            <w:vAlign w:val="center"/>
          </w:tcPr>
          <w:p>
            <w:pPr>
              <w:pStyle w:val="37"/>
              <w:widowControl w:val="0"/>
              <w:spacing w:before="0" w:beforeAutospacing="0" w:after="0" w:afterAutospacing="0" w:line="360" w:lineRule="auto"/>
              <w:jc w:val="both"/>
              <w:rPr>
                <w:rFonts w:ascii="宋体" w:hAnsi="宋体" w:eastAsia="宋体"/>
                <w:b w:val="0"/>
                <w:bCs w:val="0"/>
                <w:color w:val="auto"/>
                <w:sz w:val="24"/>
                <w:szCs w:val="24"/>
                <w:highlight w:val="none"/>
              </w:rPr>
            </w:pPr>
            <w:r>
              <w:rPr>
                <w:rFonts w:hint="eastAsia" w:ascii="宋体" w:hAnsi="宋体" w:eastAsia="宋体"/>
                <w:b w:val="0"/>
                <w:bCs w:val="0"/>
                <w:color w:val="auto"/>
                <w:sz w:val="24"/>
                <w:szCs w:val="24"/>
                <w:highlight w:val="none"/>
              </w:rPr>
              <w:sym w:font="Wingdings" w:char="00A8"/>
            </w:r>
            <w:r>
              <w:rPr>
                <w:rFonts w:hint="eastAsia" w:ascii="宋体" w:hAnsi="宋体" w:eastAsia="宋体"/>
                <w:b w:val="0"/>
                <w:bCs w:val="0"/>
                <w:color w:val="auto"/>
                <w:sz w:val="24"/>
                <w:szCs w:val="24"/>
                <w:highlight w:val="none"/>
              </w:rPr>
              <w:t>供应商自行登录电子</w:t>
            </w:r>
            <w:r>
              <w:rPr>
                <w:rFonts w:hint="eastAsia" w:ascii="宋体" w:hAnsi="宋体" w:eastAsia="宋体" w:cs="宋体"/>
                <w:b w:val="0"/>
                <w:bCs w:val="0"/>
                <w:color w:val="auto"/>
                <w:sz w:val="24"/>
                <w:szCs w:val="24"/>
                <w:highlight w:val="none"/>
                <w:lang w:val="en-US" w:eastAsia="zh-CN"/>
              </w:rPr>
              <w:t>交易</w:t>
            </w:r>
            <w:r>
              <w:rPr>
                <w:rFonts w:hint="eastAsia" w:ascii="宋体" w:hAnsi="宋体" w:eastAsia="宋体"/>
                <w:b w:val="0"/>
                <w:bCs w:val="0"/>
                <w:color w:val="auto"/>
                <w:sz w:val="24"/>
                <w:szCs w:val="24"/>
                <w:highlight w:val="none"/>
              </w:rPr>
              <w:t>系统查看</w:t>
            </w:r>
          </w:p>
          <w:p>
            <w:pPr>
              <w:pStyle w:val="37"/>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b w:val="0"/>
                <w:color w:val="auto"/>
                <w:sz w:val="24"/>
                <w:highlight w:val="none"/>
              </w:rPr>
              <w:t>□磋商现场告知</w:t>
            </w:r>
          </w:p>
          <w:p>
            <w:pPr>
              <w:pStyle w:val="37"/>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Theme="minorEastAsia" w:hAnsiTheme="minorEastAsia" w:eastAsiaTheme="minorEastAsia"/>
                <w:b w:val="0"/>
                <w:bCs w:val="0"/>
                <w:color w:val="auto"/>
                <w:kern w:val="2"/>
                <w:sz w:val="24"/>
                <w:szCs w:val="24"/>
                <w:highlight w:val="none"/>
              </w:rPr>
              <w:t>□</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25</w:t>
            </w:r>
            <w:r>
              <w:rPr>
                <w:rFonts w:ascii="宋体" w:hAnsi="宋体" w:eastAsia="宋体"/>
                <w:bCs/>
                <w:color w:val="auto"/>
                <w:kern w:val="2"/>
                <w:highlight w:val="none"/>
              </w:rPr>
              <w:t>.1</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履约保证金</w:t>
            </w:r>
          </w:p>
        </w:tc>
        <w:tc>
          <w:tcPr>
            <w:tcW w:w="3267" w:type="pct"/>
            <w:vAlign w:val="top"/>
          </w:tcPr>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spacing w:line="360" w:lineRule="auto"/>
              <w:rPr>
                <w:rFonts w:hint="default" w:ascii="宋体" w:hAnsi="宋体" w:eastAsia="宋体"/>
                <w:bCs/>
                <w:color w:val="auto"/>
                <w:kern w:val="0"/>
                <w:sz w:val="24"/>
                <w:szCs w:val="28"/>
                <w:highlight w:val="none"/>
                <w:u w:val="single"/>
                <w:lang w:val="en-US" w:eastAsia="zh-CN"/>
              </w:rPr>
            </w:pPr>
            <w:r>
              <w:rPr>
                <w:rFonts w:hint="eastAsia" w:ascii="宋体" w:hAnsi="宋体" w:eastAsia="宋体"/>
                <w:bCs/>
                <w:color w:val="auto"/>
                <w:kern w:val="0"/>
                <w:sz w:val="24"/>
                <w:szCs w:val="28"/>
                <w:highlight w:val="none"/>
              </w:rPr>
              <w:t>（3）收取单位：</w:t>
            </w:r>
            <w:r>
              <w:rPr>
                <w:rFonts w:hint="eastAsia" w:ascii="宋体" w:hAnsi="宋体" w:eastAsia="宋体"/>
                <w:bCs/>
                <w:color w:val="auto"/>
                <w:kern w:val="0"/>
                <w:sz w:val="24"/>
                <w:szCs w:val="28"/>
                <w:highlight w:val="none"/>
                <w:u w:val="single"/>
                <w:lang w:val="en-US" w:eastAsia="zh-CN"/>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（4）</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lang w:val="en-US" w:eastAsia="zh-CN"/>
              </w:rPr>
              <w:t xml:space="preserve">    </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pStyle w:val="37"/>
              <w:widowControl w:val="0"/>
              <w:spacing w:before="0" w:beforeAutospacing="0" w:after="0" w:afterAutospacing="0" w:line="360" w:lineRule="auto"/>
              <w:jc w:val="both"/>
              <w:rPr>
                <w:rFonts w:ascii="宋体" w:hAnsi="宋体" w:eastAsia="宋体" w:cs="@仿宋_GB2312"/>
                <w:b/>
                <w:bCs/>
                <w:color w:val="auto"/>
                <w:kern w:val="0"/>
                <w:sz w:val="24"/>
                <w:szCs w:val="28"/>
                <w:highlight w:val="none"/>
                <w:lang w:val="en-US" w:eastAsia="zh-CN" w:bidi="ar-SA"/>
              </w:rPr>
            </w:pPr>
            <w:r>
              <w:rPr>
                <w:rFonts w:hint="eastAsia" w:ascii="宋体" w:hAnsi="宋体" w:eastAsia="宋体"/>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26</w:t>
            </w:r>
            <w:r>
              <w:rPr>
                <w:rFonts w:ascii="宋体" w:hAnsi="宋体" w:eastAsia="宋体"/>
                <w:bCs/>
                <w:color w:val="auto"/>
                <w:kern w:val="2"/>
                <w:highlight w:val="none"/>
              </w:rPr>
              <w:t>.1</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lang w:val="en-US" w:eastAsia="zh-CN"/>
              </w:rPr>
              <w:t>代理</w:t>
            </w:r>
            <w:r>
              <w:rPr>
                <w:rFonts w:hint="eastAsia" w:ascii="宋体" w:hAnsi="宋体" w:eastAsia="宋体"/>
                <w:b w:val="0"/>
                <w:color w:val="auto"/>
                <w:sz w:val="24"/>
                <w:highlight w:val="none"/>
              </w:rPr>
              <w:t>费</w:t>
            </w:r>
            <w:r>
              <w:rPr>
                <w:rFonts w:hint="eastAsia" w:ascii="宋体" w:hAnsi="宋体" w:eastAsia="宋体"/>
                <w:b w:val="0"/>
                <w:color w:val="auto"/>
                <w:sz w:val="24"/>
                <w:highlight w:val="none"/>
                <w:lang w:val="en-US" w:eastAsia="zh-CN"/>
              </w:rPr>
              <w:t>用</w:t>
            </w:r>
          </w:p>
        </w:tc>
        <w:tc>
          <w:tcPr>
            <w:tcW w:w="3267"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hint="default" w:ascii="宋体" w:hAnsi="宋体" w:eastAsia="宋体" w:cs="宋体"/>
                <w:sz w:val="24"/>
                <w:szCs w:val="24"/>
                <w:lang w:val="en-US" w:eastAsia="zh-CN"/>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cs="宋体"/>
                <w:spacing w:val="14"/>
                <w:sz w:val="24"/>
                <w:szCs w:val="24"/>
                <w:lang w:val="en-US" w:eastAsia="zh-CN"/>
              </w:rPr>
              <w:t>成交供应商</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37"/>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hint="eastAsia" w:ascii="宋体" w:hAnsi="宋体" w:eastAsia="宋体" w:cs="@仿宋_GB2312"/>
                <w:bCs/>
                <w:color w:val="auto"/>
                <w:kern w:val="2"/>
                <w:sz w:val="24"/>
                <w:szCs w:val="20"/>
                <w:highlight w:val="yellow"/>
                <w:lang w:val="en-US" w:eastAsia="zh-CN" w:bidi="ar-SA"/>
              </w:rPr>
            </w:pPr>
            <w:r>
              <w:rPr>
                <w:rFonts w:hint="eastAsia" w:ascii="宋体" w:hAnsi="宋体" w:eastAsia="宋体"/>
                <w:bCs/>
                <w:color w:val="auto"/>
                <w:kern w:val="2"/>
                <w:highlight w:val="none"/>
                <w:lang w:val="en-US" w:eastAsia="zh-CN"/>
              </w:rPr>
              <w:t>27.1</w:t>
            </w:r>
          </w:p>
        </w:tc>
        <w:tc>
          <w:tcPr>
            <w:tcW w:w="1160" w:type="pct"/>
            <w:vAlign w:val="center"/>
          </w:tcPr>
          <w:p>
            <w:pPr>
              <w:pStyle w:val="37"/>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签订合同和合同公开时间</w:t>
            </w:r>
          </w:p>
        </w:tc>
        <w:tc>
          <w:tcPr>
            <w:tcW w:w="3267" w:type="pct"/>
            <w:vAlign w:val="center"/>
          </w:tcPr>
          <w:p>
            <w:pPr>
              <w:pStyle w:val="37"/>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采购人与成交供应商应当自发出成交通知书之日起7个工作日内签订合同，采购合同签订之日起2个工作日内完成政府采购合同公开。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hint="eastAsia" w:ascii="宋体" w:hAnsi="宋体" w:eastAsia="宋体"/>
                <w:bCs/>
                <w:color w:val="auto"/>
                <w:kern w:val="2"/>
                <w:highlight w:val="yellow"/>
                <w:lang w:eastAsia="zh-CN"/>
              </w:rPr>
            </w:pPr>
            <w:r>
              <w:rPr>
                <w:rFonts w:hint="eastAsia" w:ascii="宋体" w:hAnsi="宋体" w:eastAsia="宋体"/>
                <w:bCs/>
                <w:color w:val="auto"/>
                <w:kern w:val="2"/>
                <w:highlight w:val="none"/>
                <w:lang w:val="en-US" w:eastAsia="zh-CN"/>
              </w:rPr>
              <w:t>29.3</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质疑函递交方式、接收部门、联系电话和通讯地址</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37"/>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37"/>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37"/>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30</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其他内容</w:t>
            </w:r>
          </w:p>
        </w:tc>
        <w:tc>
          <w:tcPr>
            <w:tcW w:w="6274" w:type="dxa"/>
            <w:vAlign w:val="center"/>
          </w:tcPr>
          <w:p>
            <w:pPr>
              <w:spacing w:line="360" w:lineRule="auto"/>
              <w:rPr>
                <w:rFonts w:hint="default" w:asciiTheme="minorEastAsia" w:hAnsiTheme="minorEastAsia" w:eastAsiaTheme="minorEastAsia"/>
                <w:bCs/>
                <w:color w:val="auto"/>
                <w:sz w:val="24"/>
                <w:szCs w:val="24"/>
                <w:highlight w:val="none"/>
                <w:lang w:val="en-US" w:eastAsia="zh-CN"/>
              </w:rPr>
            </w:pPr>
            <w:r>
              <w:rPr>
                <w:rFonts w:hint="eastAsia" w:asciiTheme="minorEastAsia" w:hAnsiTheme="minorEastAsia" w:eastAsiaTheme="minorEastAsia"/>
                <w:bCs/>
                <w:color w:val="auto"/>
                <w:sz w:val="24"/>
                <w:szCs w:val="24"/>
                <w:highlight w:val="none"/>
                <w:lang w:val="en-US" w:eastAsia="zh-CN"/>
              </w:rPr>
              <w:t>1.解释权</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rPr>
              <w:t>磋商</w:t>
            </w:r>
            <w:r>
              <w:rPr>
                <w:rFonts w:asciiTheme="minorEastAsia" w:hAnsiTheme="minorEastAsia" w:eastAsiaTheme="minorEastAsia"/>
                <w:bCs/>
                <w:color w:val="auto"/>
                <w:sz w:val="24"/>
                <w:szCs w:val="24"/>
                <w:highlight w:val="none"/>
              </w:rPr>
              <w:t>文件的各个组成文件应互为解释，互为说明；</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磋商</w:t>
            </w:r>
            <w:r>
              <w:rPr>
                <w:rFonts w:asciiTheme="minorEastAsia" w:hAnsiTheme="minorEastAsia" w:eastAsiaTheme="minorEastAsia"/>
                <w:bCs/>
                <w:color w:val="auto"/>
                <w:sz w:val="24"/>
                <w:szCs w:val="24"/>
                <w:highlight w:val="none"/>
              </w:rPr>
              <w:t>文件中有特别规定外，仅适用于</w:t>
            </w:r>
            <w:r>
              <w:rPr>
                <w:rFonts w:hint="eastAsia" w:asciiTheme="minorEastAsia" w:hAnsiTheme="minorEastAsia" w:eastAsiaTheme="minorEastAsia"/>
                <w:bCs/>
                <w:color w:val="auto"/>
                <w:sz w:val="24"/>
                <w:szCs w:val="24"/>
                <w:highlight w:val="none"/>
              </w:rPr>
              <w:t>磋商及响应文件提交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竞争性磋商</w:t>
            </w:r>
            <w:r>
              <w:rPr>
                <w:rFonts w:asciiTheme="minorEastAsia" w:hAnsiTheme="minorEastAsia" w:eastAsiaTheme="minorEastAsia"/>
                <w:bCs/>
                <w:color w:val="auto"/>
                <w:sz w:val="24"/>
                <w:szCs w:val="24"/>
                <w:highlight w:val="none"/>
              </w:rPr>
              <w:t>公告、</w:t>
            </w:r>
            <w:r>
              <w:rPr>
                <w:rFonts w:hint="eastAsia" w:asciiTheme="minorEastAsia" w:hAnsiTheme="minorEastAsia" w:eastAsiaTheme="minorEastAsia"/>
                <w:bCs/>
                <w:color w:val="auto"/>
                <w:sz w:val="24"/>
                <w:szCs w:val="24"/>
                <w:highlight w:val="none"/>
              </w:rPr>
              <w:t>磋商邀请、供应商</w:t>
            </w:r>
            <w:r>
              <w:rPr>
                <w:rFonts w:asciiTheme="minorEastAsia" w:hAnsiTheme="minorEastAsia" w:eastAsiaTheme="minorEastAsia"/>
                <w:bCs/>
                <w:color w:val="auto"/>
                <w:sz w:val="24"/>
                <w:szCs w:val="24"/>
                <w:highlight w:val="none"/>
              </w:rPr>
              <w:t>须知、评</w:t>
            </w:r>
            <w:r>
              <w:rPr>
                <w:rFonts w:hint="eastAsia" w:asciiTheme="minorEastAsia" w:hAnsiTheme="minorEastAsia" w:eastAsiaTheme="minorEastAsia"/>
                <w:bCs/>
                <w:color w:val="auto"/>
                <w:sz w:val="24"/>
                <w:szCs w:val="24"/>
                <w:highlight w:val="none"/>
              </w:rPr>
              <w:t>审方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（5）</w:t>
            </w:r>
            <w:r>
              <w:rPr>
                <w:rFonts w:asciiTheme="minorEastAsia" w:hAnsiTheme="minorEastAsia" w:eastAsiaTheme="minorEastAsia"/>
                <w:bCs/>
                <w:color w:val="auto"/>
                <w:sz w:val="24"/>
                <w:szCs w:val="24"/>
                <w:highlight w:val="none"/>
              </w:rPr>
              <w:t>按本款前述规定仍不能形成结论的，由</w:t>
            </w:r>
            <w:r>
              <w:rPr>
                <w:rFonts w:hint="eastAsia" w:asciiTheme="minorEastAsia" w:hAnsiTheme="minorEastAsia" w:eastAsiaTheme="minorEastAsia"/>
                <w:bCs/>
                <w:color w:val="auto"/>
                <w:sz w:val="24"/>
                <w:szCs w:val="24"/>
                <w:highlight w:val="none"/>
              </w:rPr>
              <w:t>采购</w:t>
            </w:r>
            <w:r>
              <w:rPr>
                <w:rFonts w:asciiTheme="minorEastAsia" w:hAnsiTheme="minorEastAsia" w:eastAsiaTheme="minorEastAsia"/>
                <w:bCs/>
                <w:color w:val="auto"/>
                <w:sz w:val="24"/>
                <w:szCs w:val="24"/>
                <w:highlight w:val="none"/>
              </w:rPr>
              <w:t>人负责解释。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lang w:val="en-US" w:eastAsia="zh-CN"/>
              </w:rPr>
              <w:t>2.</w:t>
            </w:r>
            <w:r>
              <w:rPr>
                <w:rFonts w:hint="eastAsia" w:asciiTheme="minorEastAsia" w:hAnsiTheme="minorEastAsia" w:eastAsiaTheme="minorEastAsia"/>
                <w:bCs/>
                <w:color w:val="auto"/>
                <w:sz w:val="24"/>
                <w:szCs w:val="24"/>
                <w:highlight w:val="none"/>
              </w:rPr>
              <w:t>“政采贷”融资指引：有融资需求的</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在取得政府采购中标或成交通知书后，可访问安徽省政府采购网“政采贷”栏目，查看和联系第三方平台或者金融机构，商洽融资事项，确定融资意向。</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签署政府采购中标（成交）合同后，登录“徽采云”金融服务模块，选择意向产品进行申请，并填写相关信息，“徽采云”金融服务模块将</w:t>
            </w:r>
            <w:r>
              <w:rPr>
                <w:rFonts w:hint="eastAsia" w:ascii="宋体" w:hAnsi="宋体" w:eastAsia="宋体" w:cs="宋体"/>
                <w:color w:val="auto"/>
                <w:sz w:val="24"/>
                <w:szCs w:val="24"/>
                <w:highlight w:val="none"/>
              </w:rPr>
              <w:t>成交供应商</w:t>
            </w:r>
            <w:r>
              <w:rPr>
                <w:rFonts w:hint="eastAsia" w:asciiTheme="minorEastAsia" w:hAnsiTheme="minorEastAsia" w:eastAsiaTheme="minorEastAsia"/>
                <w:bCs/>
                <w:color w:val="auto"/>
                <w:sz w:val="24"/>
                <w:szCs w:val="24"/>
                <w:highlight w:val="none"/>
              </w:rPr>
              <w:t>融资申请信息推送第三方平台、意向金融机构。</w:t>
            </w:r>
          </w:p>
          <w:p>
            <w:pPr>
              <w:spacing w:line="360" w:lineRule="auto"/>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3.电子保函指引：成交供应商可访问安徽省政府采购网“融资/保函”栏目，申请办理电子保函（包括：履约保函、预付款保函）。</w:t>
            </w:r>
          </w:p>
          <w:p>
            <w:pPr>
              <w:spacing w:line="360" w:lineRule="auto"/>
              <w:rPr>
                <w:rFonts w:hint="eastAsia" w:cs="@仿宋_GB2312" w:asciiTheme="minorEastAsia" w:hAnsiTheme="minorEastAsia" w:eastAsiaTheme="minorEastAsia"/>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61" w:name="_Toc27470"/>
      <w:bookmarkStart w:id="62" w:name="_Toc14293"/>
      <w:r>
        <w:rPr>
          <w:rFonts w:hint="eastAsia" w:asciiTheme="minorEastAsia" w:hAnsiTheme="minorEastAsia" w:eastAsiaTheme="minorEastAsia"/>
          <w:b/>
          <w:color w:val="auto"/>
          <w:sz w:val="24"/>
          <w:highlight w:val="none"/>
        </w:rPr>
        <w:t>二、供应商</w:t>
      </w:r>
      <w:r>
        <w:rPr>
          <w:rFonts w:asciiTheme="minorEastAsia" w:hAnsiTheme="minorEastAsia" w:eastAsiaTheme="minorEastAsia"/>
          <w:b/>
          <w:color w:val="auto"/>
          <w:sz w:val="24"/>
          <w:highlight w:val="none"/>
        </w:rPr>
        <w:t>须知</w:t>
      </w:r>
      <w:r>
        <w:rPr>
          <w:rFonts w:hint="eastAsia" w:asciiTheme="minorEastAsia" w:hAnsiTheme="minorEastAsia" w:eastAsiaTheme="minorEastAsia"/>
          <w:b/>
          <w:color w:val="auto"/>
          <w:sz w:val="24"/>
          <w:highlight w:val="none"/>
        </w:rPr>
        <w:t>正文</w:t>
      </w:r>
      <w:bookmarkEnd w:id="61"/>
      <w:bookmarkEnd w:id="62"/>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采购人、采购代理机构及供应商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.1采购人：是指依法开展政府采购活动的国家机关、事业单位、团体组织。</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.2采购代理机构：是指集中采购机构或从事采购代理业务的社会中介机构。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.3政府采购监督管理部门：</w:t>
      </w:r>
      <w:r>
        <w:rPr>
          <w:rFonts w:hint="eastAsia" w:ascii="宋体" w:hAnsi="宋体" w:eastAsia="宋体"/>
          <w:color w:val="auto"/>
          <w:sz w:val="24"/>
          <w:highlight w:val="none"/>
        </w:rPr>
        <w:t>各级人民政府指定的有关部门依法履行与政府采购活动有关的监督管理职责</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yellow"/>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.4</w:t>
      </w:r>
      <w:r>
        <w:rPr>
          <w:rFonts w:hint="eastAsia" w:ascii="宋体" w:hAnsi="宋体" w:eastAsia="宋体"/>
          <w:color w:val="auto"/>
          <w:sz w:val="24"/>
          <w:highlight w:val="none"/>
        </w:rPr>
        <w:t>供应商</w:t>
      </w:r>
      <w:r>
        <w:rPr>
          <w:rFonts w:ascii="宋体" w:hAnsi="宋体" w:eastAsia="宋体"/>
          <w:color w:val="auto"/>
          <w:sz w:val="24"/>
          <w:highlight w:val="none"/>
        </w:rPr>
        <w:t>：是指向采购人提供货物、工程或者服务的法人、非法人组织或者自然人。</w:t>
      </w:r>
      <w:r>
        <w:rPr>
          <w:rFonts w:hint="eastAsia" w:ascii="宋体" w:hAnsi="宋体" w:eastAsia="宋体"/>
          <w:color w:val="auto"/>
          <w:sz w:val="24"/>
          <w:highlight w:val="none"/>
        </w:rPr>
        <w:t>分支机构不得参加政府采购活动，但银行、保险、石油石化、电力、电信等特殊行业除外。</w:t>
      </w:r>
      <w:r>
        <w:rPr>
          <w:rFonts w:ascii="宋体" w:hAnsi="宋体" w:eastAsia="宋体"/>
          <w:color w:val="auto"/>
          <w:sz w:val="24"/>
          <w:highlight w:val="none"/>
        </w:rPr>
        <w:t>本项目的</w:t>
      </w:r>
      <w:r>
        <w:rPr>
          <w:rFonts w:hint="eastAsia" w:ascii="宋体" w:hAnsi="宋体" w:eastAsia="宋体"/>
          <w:color w:val="auto"/>
          <w:sz w:val="24"/>
          <w:highlight w:val="none"/>
        </w:rPr>
        <w:t>供应商</w:t>
      </w:r>
      <w:r>
        <w:rPr>
          <w:rFonts w:ascii="宋体" w:hAnsi="宋体" w:eastAsia="宋体"/>
          <w:color w:val="auto"/>
          <w:sz w:val="24"/>
          <w:highlight w:val="none"/>
        </w:rPr>
        <w:t>及其</w:t>
      </w:r>
      <w:r>
        <w:rPr>
          <w:rFonts w:hint="eastAsia" w:ascii="宋体" w:hAnsi="宋体" w:eastAsia="宋体"/>
          <w:color w:val="auto"/>
          <w:sz w:val="24"/>
          <w:highlight w:val="none"/>
        </w:rPr>
        <w:t>所</w:t>
      </w:r>
      <w:r>
        <w:rPr>
          <w:rFonts w:ascii="宋体" w:hAnsi="宋体" w:eastAsia="宋体"/>
          <w:color w:val="auto"/>
          <w:sz w:val="24"/>
          <w:highlight w:val="none"/>
        </w:rPr>
        <w:t>投货物须满足以下条件：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1</w:t>
      </w:r>
      <w:r>
        <w:rPr>
          <w:rFonts w:ascii="宋体" w:hAnsi="宋体" w:eastAsia="宋体"/>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2</w:t>
      </w:r>
      <w:r>
        <w:rPr>
          <w:rFonts w:ascii="宋体" w:hAnsi="宋体" w:eastAsia="宋体"/>
          <w:color w:val="auto"/>
          <w:sz w:val="24"/>
          <w:highlight w:val="none"/>
        </w:rPr>
        <w:t>以采购代理机构认可的方式获得了本项目的</w:t>
      </w:r>
      <w:r>
        <w:rPr>
          <w:rFonts w:hint="eastAsia" w:ascii="宋体" w:hAnsi="宋体" w:eastAsia="宋体"/>
          <w:color w:val="auto"/>
          <w:sz w:val="24"/>
          <w:highlight w:val="none"/>
          <w:lang w:val="en-US" w:eastAsia="zh-CN"/>
        </w:rPr>
        <w:t>磋商</w:t>
      </w:r>
      <w:r>
        <w:rPr>
          <w:rFonts w:ascii="宋体" w:hAnsi="宋体" w:eastAsia="宋体"/>
          <w:color w:val="auto"/>
          <w:sz w:val="24"/>
          <w:highlight w:val="none"/>
        </w:rPr>
        <w:t>文件。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ascii="宋体" w:hAnsi="宋体" w:eastAsia="宋体"/>
          <w:color w:val="auto"/>
          <w:sz w:val="24"/>
          <w:highlight w:val="none"/>
        </w:rPr>
        <w:t>中写明允许采购进口产品，</w:t>
      </w:r>
      <w:r>
        <w:rPr>
          <w:rFonts w:hint="eastAsia" w:ascii="宋体" w:hAnsi="宋体" w:eastAsia="宋体"/>
          <w:color w:val="auto"/>
          <w:sz w:val="24"/>
          <w:highlight w:val="none"/>
          <w:lang w:val="en-US" w:eastAsia="zh-CN"/>
        </w:rPr>
        <w:t>供应商</w:t>
      </w:r>
      <w:r>
        <w:rPr>
          <w:rFonts w:ascii="宋体" w:hAnsi="宋体" w:eastAsia="宋体"/>
          <w:color w:val="auto"/>
          <w:sz w:val="24"/>
          <w:highlight w:val="none"/>
        </w:rPr>
        <w:t>应保证所投产品可履行合法报通关手续进入中国关境内。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若</w:t>
      </w:r>
      <w:r>
        <w:rPr>
          <w:rFonts w:hint="eastAsia" w:ascii="宋体" w:hAnsi="宋体" w:eastAsia="宋体"/>
          <w:color w:val="auto"/>
          <w:sz w:val="24"/>
          <w:lang w:eastAsia="zh-CN"/>
        </w:rPr>
        <w:t>采购需求</w:t>
      </w:r>
      <w:r>
        <w:rPr>
          <w:rFonts w:hint="eastAsia" w:ascii="宋体" w:hAnsi="宋体" w:eastAsia="宋体"/>
          <w:color w:val="auto"/>
          <w:sz w:val="24"/>
          <w:highlight w:val="none"/>
        </w:rPr>
        <w:t>中未写明允许采购进口产品，如供应商所投产品为进口产品，其响应文件将被认定为</w:t>
      </w:r>
      <w:r>
        <w:rPr>
          <w:rFonts w:hint="eastAsia" w:ascii="宋体" w:hAnsi="宋体" w:eastAsia="宋体"/>
          <w:b/>
          <w:color w:val="auto"/>
          <w:sz w:val="24"/>
          <w:highlight w:val="none"/>
        </w:rPr>
        <w:t>响应无效</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bookmarkStart w:id="63" w:name="_Hlk60607583"/>
      <w:r>
        <w:rPr>
          <w:rFonts w:hint="eastAsia" w:ascii="宋体" w:hAnsi="宋体" w:eastAsia="宋体"/>
          <w:bCs/>
          <w:color w:val="auto"/>
          <w:kern w:val="0"/>
          <w:sz w:val="24"/>
          <w:szCs w:val="28"/>
          <w:highlight w:val="none"/>
          <w:lang w:val="en-US" w:eastAsia="zh-CN"/>
        </w:rPr>
        <w:t>1</w:t>
      </w:r>
      <w:r>
        <w:rPr>
          <w:rFonts w:ascii="宋体" w:hAnsi="宋体" w:eastAsia="宋体"/>
          <w:bCs/>
          <w:color w:val="auto"/>
          <w:kern w:val="0"/>
          <w:sz w:val="24"/>
          <w:szCs w:val="28"/>
          <w:highlight w:val="none"/>
        </w:rPr>
        <w:t>.5</w:t>
      </w:r>
      <w:r>
        <w:rPr>
          <w:rFonts w:hint="eastAsia" w:ascii="宋体" w:hAnsi="宋体" w:eastAsia="宋体"/>
          <w:bCs/>
          <w:color w:val="auto"/>
          <w:kern w:val="0"/>
          <w:sz w:val="24"/>
          <w:szCs w:val="28"/>
          <w:highlight w:val="none"/>
        </w:rPr>
        <w:t>若竞争性磋商公告</w:t>
      </w:r>
      <w:r>
        <w:rPr>
          <w:rFonts w:ascii="宋体" w:hAnsi="宋体" w:eastAsia="宋体"/>
          <w:bCs/>
          <w:color w:val="auto"/>
          <w:kern w:val="0"/>
          <w:sz w:val="24"/>
          <w:szCs w:val="28"/>
          <w:highlight w:val="none"/>
        </w:rPr>
        <w:t>中允许联合体</w:t>
      </w:r>
      <w:r>
        <w:rPr>
          <w:rFonts w:hint="eastAsia" w:ascii="宋体" w:hAnsi="宋体" w:eastAsia="宋体"/>
          <w:bCs/>
          <w:color w:val="auto"/>
          <w:kern w:val="0"/>
          <w:sz w:val="24"/>
          <w:szCs w:val="28"/>
          <w:highlight w:val="none"/>
        </w:rPr>
        <w:t>参加磋商</w:t>
      </w:r>
      <w:r>
        <w:rPr>
          <w:rFonts w:ascii="宋体" w:hAnsi="宋体" w:eastAsia="宋体"/>
          <w:bCs/>
          <w:color w:val="auto"/>
          <w:kern w:val="0"/>
          <w:sz w:val="24"/>
          <w:szCs w:val="28"/>
          <w:highlight w:val="none"/>
        </w:rPr>
        <w:t>，对联合体规定如下：</w:t>
      </w:r>
    </w:p>
    <w:bookmarkEnd w:id="63"/>
    <w:p>
      <w:pPr>
        <w:spacing w:line="360" w:lineRule="auto"/>
        <w:ind w:firstLine="435"/>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.1</w:t>
      </w:r>
      <w:r>
        <w:rPr>
          <w:rFonts w:hint="eastAsia" w:ascii="宋体" w:hAnsi="宋体" w:eastAsia="宋体"/>
          <w:color w:val="auto"/>
          <w:sz w:val="24"/>
          <w:highlight w:val="none"/>
        </w:rPr>
        <w:t>两个以上供应商可以组成一个磋商联合体，以一个供应商的身份磋商</w:t>
      </w:r>
      <w:r>
        <w:rPr>
          <w:rFonts w:ascii="宋体" w:hAnsi="宋体" w:eastAsia="宋体"/>
          <w:color w:val="auto"/>
          <w:sz w:val="24"/>
          <w:highlight w:val="none"/>
        </w:rPr>
        <w:t>。</w:t>
      </w:r>
      <w:r>
        <w:rPr>
          <w:rFonts w:ascii="宋体" w:hAnsi="宋体" w:eastAsia="宋体"/>
          <w:b w:val="0"/>
          <w:color w:val="auto"/>
          <w:sz w:val="24"/>
          <w:highlight w:val="none"/>
        </w:rPr>
        <w:t>联合体参加磋商的，</w:t>
      </w:r>
      <w:r>
        <w:rPr>
          <w:rFonts w:hint="eastAsia" w:ascii="宋体" w:hAnsi="宋体" w:eastAsia="宋体"/>
          <w:b w:val="0"/>
          <w:color w:val="auto"/>
          <w:sz w:val="24"/>
          <w:highlight w:val="none"/>
        </w:rPr>
        <w:t>磋商文件获取</w:t>
      </w:r>
      <w:r>
        <w:rPr>
          <w:rFonts w:ascii="宋体" w:hAnsi="宋体" w:eastAsia="宋体"/>
          <w:b w:val="0"/>
          <w:color w:val="auto"/>
          <w:sz w:val="24"/>
          <w:highlight w:val="none"/>
        </w:rPr>
        <w:t>手续由联合体</w:t>
      </w:r>
      <w:r>
        <w:rPr>
          <w:rFonts w:hint="eastAsia" w:ascii="宋体" w:hAnsi="宋体" w:eastAsia="宋体"/>
          <w:b w:val="0"/>
          <w:color w:val="auto"/>
          <w:sz w:val="24"/>
          <w:highlight w:val="none"/>
        </w:rPr>
        <w:t>中</w:t>
      </w:r>
      <w:r>
        <w:rPr>
          <w:rFonts w:ascii="宋体" w:hAnsi="宋体" w:eastAsia="宋体"/>
          <w:b w:val="0"/>
          <w:color w:val="auto"/>
          <w:sz w:val="24"/>
          <w:highlight w:val="none"/>
        </w:rPr>
        <w:t>任一</w:t>
      </w:r>
      <w:r>
        <w:rPr>
          <w:rFonts w:hint="eastAsia" w:ascii="宋体" w:hAnsi="宋体" w:eastAsia="宋体"/>
          <w:b w:val="0"/>
          <w:color w:val="auto"/>
          <w:sz w:val="24"/>
          <w:highlight w:val="none"/>
        </w:rPr>
        <w:t>成员单位</w:t>
      </w:r>
      <w:r>
        <w:rPr>
          <w:rFonts w:ascii="宋体" w:hAnsi="宋体" w:eastAsia="宋体"/>
          <w:b w:val="0"/>
          <w:color w:val="auto"/>
          <w:sz w:val="24"/>
          <w:highlight w:val="none"/>
        </w:rPr>
        <w:t>办理均可。</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.2联合体各方均应符合《中华人民共和国政府采购法》第二十二条规定的条件。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.3采购人根据采购项目对</w:t>
      </w:r>
      <w:r>
        <w:rPr>
          <w:rFonts w:hint="eastAsia" w:ascii="宋体" w:hAnsi="宋体" w:eastAsia="宋体"/>
          <w:color w:val="auto"/>
          <w:sz w:val="24"/>
          <w:highlight w:val="none"/>
        </w:rPr>
        <w:t>供应商</w:t>
      </w:r>
      <w:r>
        <w:rPr>
          <w:rFonts w:ascii="宋体" w:hAnsi="宋体" w:eastAsia="宋体"/>
          <w:color w:val="auto"/>
          <w:sz w:val="24"/>
          <w:highlight w:val="none"/>
        </w:rPr>
        <w:t>的特殊要求，联合体中至少应当有一方符合相关规定。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.4联合体各方应签订</w:t>
      </w:r>
      <w:r>
        <w:rPr>
          <w:rFonts w:hint="eastAsia" w:ascii="宋体" w:hAnsi="宋体" w:eastAsia="宋体"/>
          <w:color w:val="auto"/>
          <w:sz w:val="24"/>
          <w:highlight w:val="none"/>
        </w:rPr>
        <w:t>联合协议</w:t>
      </w:r>
      <w:r>
        <w:rPr>
          <w:rFonts w:ascii="宋体" w:hAnsi="宋体" w:eastAsia="宋体"/>
          <w:color w:val="auto"/>
          <w:sz w:val="24"/>
          <w:highlight w:val="none"/>
        </w:rPr>
        <w:t>，明确约定联合体各方承担的工作和相应的责任，并将</w:t>
      </w:r>
      <w:r>
        <w:rPr>
          <w:rFonts w:hint="eastAsia" w:ascii="宋体" w:hAnsi="宋体" w:eastAsia="宋体"/>
          <w:color w:val="auto"/>
          <w:sz w:val="24"/>
          <w:highlight w:val="none"/>
        </w:rPr>
        <w:t>联合协议</w:t>
      </w:r>
      <w:r>
        <w:rPr>
          <w:rFonts w:ascii="宋体" w:hAnsi="宋体" w:eastAsia="宋体"/>
          <w:color w:val="auto"/>
          <w:sz w:val="24"/>
          <w:highlight w:val="none"/>
        </w:rPr>
        <w:t>作为</w:t>
      </w:r>
      <w:r>
        <w:rPr>
          <w:rFonts w:hint="eastAsia" w:ascii="宋体" w:hAnsi="宋体" w:eastAsia="宋体"/>
          <w:color w:val="auto"/>
          <w:sz w:val="24"/>
          <w:highlight w:val="none"/>
        </w:rPr>
        <w:t>响应</w:t>
      </w:r>
      <w:r>
        <w:rPr>
          <w:rFonts w:ascii="宋体" w:hAnsi="宋体" w:eastAsia="宋体"/>
          <w:color w:val="auto"/>
          <w:sz w:val="24"/>
          <w:highlight w:val="none"/>
        </w:rPr>
        <w:t>文件</w:t>
      </w:r>
      <w:r>
        <w:rPr>
          <w:rFonts w:hint="eastAsia" w:ascii="宋体" w:hAnsi="宋体" w:eastAsia="宋体"/>
          <w:color w:val="auto"/>
          <w:sz w:val="24"/>
          <w:highlight w:val="none"/>
        </w:rPr>
        <w:t>的</w:t>
      </w:r>
      <w:r>
        <w:rPr>
          <w:rFonts w:ascii="宋体" w:hAnsi="宋体" w:eastAsia="宋体"/>
          <w:color w:val="auto"/>
          <w:sz w:val="24"/>
          <w:highlight w:val="none"/>
        </w:rPr>
        <w:t>一部分提交。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.5大中型企业、其他自然人、法人或者非法人组织与小型、微型企业组成联合体共同参加</w:t>
      </w:r>
      <w:r>
        <w:rPr>
          <w:rFonts w:hint="eastAsia" w:ascii="宋体" w:hAnsi="宋体" w:eastAsia="宋体"/>
          <w:color w:val="auto"/>
          <w:sz w:val="24"/>
          <w:highlight w:val="none"/>
        </w:rPr>
        <w:t>磋商</w:t>
      </w:r>
      <w:r>
        <w:rPr>
          <w:rFonts w:ascii="宋体" w:hAnsi="宋体" w:eastAsia="宋体"/>
          <w:color w:val="auto"/>
          <w:sz w:val="24"/>
          <w:highlight w:val="none"/>
        </w:rPr>
        <w:t>，</w:t>
      </w:r>
      <w:r>
        <w:rPr>
          <w:rFonts w:hint="eastAsia" w:ascii="宋体" w:hAnsi="宋体" w:eastAsia="宋体"/>
          <w:color w:val="auto"/>
          <w:sz w:val="24"/>
          <w:highlight w:val="none"/>
        </w:rPr>
        <w:t>联合协议中</w:t>
      </w:r>
      <w:r>
        <w:rPr>
          <w:rFonts w:ascii="宋体" w:hAnsi="宋体" w:eastAsia="宋体"/>
          <w:color w:val="auto"/>
          <w:sz w:val="24"/>
          <w:highlight w:val="none"/>
        </w:rPr>
        <w:t>应写明小型、微型企业的协议合同金额占到</w:t>
      </w:r>
      <w:r>
        <w:rPr>
          <w:rFonts w:hint="eastAsia" w:ascii="宋体" w:hAnsi="宋体" w:eastAsia="宋体"/>
          <w:color w:val="auto"/>
          <w:sz w:val="24"/>
          <w:highlight w:val="none"/>
        </w:rPr>
        <w:t>联合协议合同</w:t>
      </w:r>
      <w:r>
        <w:rPr>
          <w:rFonts w:ascii="宋体" w:hAnsi="宋体" w:eastAsia="宋体"/>
          <w:color w:val="auto"/>
          <w:sz w:val="24"/>
          <w:highlight w:val="none"/>
        </w:rPr>
        <w:t>总金额的比例。</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.5.6</w:t>
      </w:r>
      <w:r>
        <w:rPr>
          <w:rFonts w:hint="eastAsia" w:ascii="宋体" w:hAnsi="宋体" w:eastAsia="宋体"/>
          <w:color w:val="auto"/>
          <w:sz w:val="24"/>
          <w:highlight w:val="none"/>
        </w:rPr>
        <w:t>联合体中有同类资质的供应商按照联合体分工承担相同工作的，</w:t>
      </w:r>
      <w:r>
        <w:rPr>
          <w:rFonts w:ascii="宋体" w:hAnsi="宋体" w:eastAsia="宋体"/>
          <w:color w:val="auto"/>
          <w:sz w:val="24"/>
          <w:highlight w:val="none"/>
        </w:rPr>
        <w:t>应当按照</w:t>
      </w:r>
      <w:r>
        <w:rPr>
          <w:rFonts w:hint="eastAsia" w:ascii="宋体" w:hAnsi="宋体" w:eastAsia="宋体"/>
          <w:color w:val="auto"/>
          <w:sz w:val="24"/>
          <w:highlight w:val="none"/>
        </w:rPr>
        <w:t>资质等级较低的供应商确定资质等级。</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.7以联合体形式参加政府采购活动的，联合体各方不得再单独参加或者与其他供应商另外组成联合体参加本项目</w:t>
      </w:r>
      <w:r>
        <w:rPr>
          <w:rFonts w:hint="eastAsia" w:ascii="宋体" w:hAnsi="宋体" w:eastAsia="宋体"/>
          <w:color w:val="auto"/>
          <w:sz w:val="24"/>
          <w:highlight w:val="none"/>
        </w:rPr>
        <w:t>磋商</w:t>
      </w:r>
      <w:r>
        <w:rPr>
          <w:rFonts w:ascii="宋体" w:hAnsi="宋体" w:eastAsia="宋体"/>
          <w:color w:val="auto"/>
          <w:sz w:val="24"/>
          <w:highlight w:val="none"/>
        </w:rPr>
        <w:t>，否则相关</w:t>
      </w:r>
      <w:r>
        <w:rPr>
          <w:rFonts w:hint="eastAsia" w:ascii="宋体" w:hAnsi="宋体" w:eastAsia="宋体"/>
          <w:color w:val="auto"/>
          <w:sz w:val="24"/>
          <w:highlight w:val="none"/>
        </w:rPr>
        <w:t>响应文件将被认定为</w:t>
      </w:r>
      <w:r>
        <w:rPr>
          <w:rFonts w:hint="eastAsia" w:ascii="宋体" w:hAnsi="宋体" w:eastAsia="宋体"/>
          <w:b/>
          <w:color w:val="auto"/>
          <w:sz w:val="24"/>
          <w:highlight w:val="none"/>
        </w:rPr>
        <w:t>响应无效</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.8对联合体参加磋商的其他资格要求见</w:t>
      </w:r>
      <w:r>
        <w:rPr>
          <w:rFonts w:hint="eastAsia" w:ascii="宋体" w:hAnsi="宋体" w:eastAsia="宋体"/>
          <w:color w:val="auto"/>
          <w:sz w:val="24"/>
          <w:highlight w:val="none"/>
          <w:lang w:val="en-US" w:eastAsia="zh-CN"/>
        </w:rPr>
        <w:t>申请人的</w:t>
      </w:r>
      <w:r>
        <w:rPr>
          <w:rFonts w:hint="eastAsia" w:ascii="宋体" w:hAnsi="宋体" w:eastAsia="宋体"/>
          <w:color w:val="auto"/>
          <w:sz w:val="24"/>
          <w:highlight w:val="none"/>
        </w:rPr>
        <w:t>资格</w:t>
      </w:r>
      <w:r>
        <w:rPr>
          <w:rFonts w:hint="eastAsia" w:ascii="宋体" w:hAnsi="宋体" w:eastAsia="宋体"/>
          <w:color w:val="auto"/>
          <w:sz w:val="24"/>
          <w:highlight w:val="none"/>
          <w:lang w:val="en-US" w:eastAsia="zh-CN"/>
        </w:rPr>
        <w:t>要求</w:t>
      </w:r>
      <w:r>
        <w:rPr>
          <w:rFonts w:ascii="宋体" w:hAnsi="宋体" w:eastAsia="宋体"/>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资金来源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.1本项目的采购人已获得足以支付本次磋商后所签订的合同项下的资金。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宋体" w:hAnsi="宋体" w:eastAsia="宋体"/>
          <w:color w:val="auto"/>
          <w:sz w:val="24"/>
          <w:highlight w:val="none"/>
        </w:rPr>
      </w:pPr>
      <w:r>
        <w:rPr>
          <w:rFonts w:hint="eastAsia" w:ascii="宋体" w:hAnsi="宋体" w:eastAsia="宋体"/>
          <w:color w:val="auto"/>
          <w:sz w:val="24"/>
          <w:highlight w:val="none"/>
        </w:rPr>
        <w:t>不论磋商的结果如何，供应商应承担其所有与准备和参加磋商有关的费用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4.适用法律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宋体" w:hAnsi="宋体" w:eastAsia="宋体"/>
          <w:color w:val="auto"/>
          <w:sz w:val="24"/>
          <w:highlight w:val="none"/>
        </w:rPr>
      </w:pPr>
      <w:r>
        <w:rPr>
          <w:rFonts w:hint="eastAsia" w:ascii="宋体" w:hAnsi="宋体" w:eastAsia="宋体"/>
          <w:color w:val="auto"/>
          <w:sz w:val="24"/>
          <w:highlight w:val="none"/>
        </w:rPr>
        <w:t>本项目采购人、采购代理机构、供应商、磋商小组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磋商文件构成</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5</w:t>
      </w:r>
      <w:r>
        <w:rPr>
          <w:rFonts w:hint="eastAsia" w:ascii="宋体" w:hAnsi="宋体" w:eastAsia="宋体"/>
          <w:color w:val="auto"/>
          <w:sz w:val="24"/>
          <w:highlight w:val="none"/>
        </w:rPr>
        <w:t>.1磋商文件包括下列内容：</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磋商邀请</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须知</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评审方法</w:t>
      </w:r>
      <w:r>
        <w:rPr>
          <w:rFonts w:asciiTheme="minorEastAsia" w:hAnsiTheme="minorEastAsia" w:eastAsiaTheme="minorEastAsia"/>
          <w:color w:val="auto"/>
          <w:sz w:val="24"/>
          <w:highlight w:val="none"/>
        </w:rPr>
        <w:t>和标准</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文件格式</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val="en-US"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政府采购供应商</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文件中有不一致的，有</w:t>
      </w:r>
      <w:r>
        <w:rPr>
          <w:rFonts w:hint="eastAsia" w:asciiTheme="minorEastAsia" w:hAnsiTheme="minorEastAsia" w:eastAsiaTheme="minorEastAsia"/>
          <w:color w:val="auto"/>
          <w:sz w:val="24"/>
          <w:highlight w:val="none"/>
        </w:rPr>
        <w:t>澄清</w:t>
      </w:r>
      <w:r>
        <w:rPr>
          <w:rFonts w:asciiTheme="minorEastAsia" w:hAnsiTheme="minorEastAsia" w:eastAsiaTheme="minorEastAsia"/>
          <w:color w:val="auto"/>
          <w:sz w:val="24"/>
          <w:highlight w:val="none"/>
        </w:rPr>
        <w:t>的部分以最终的</w:t>
      </w:r>
      <w:r>
        <w:rPr>
          <w:rFonts w:hint="eastAsia" w:asciiTheme="minorEastAsia" w:hAnsiTheme="minorEastAsia" w:eastAsiaTheme="minorEastAsia"/>
          <w:color w:val="auto"/>
          <w:sz w:val="24"/>
          <w:highlight w:val="none"/>
        </w:rPr>
        <w:t>澄清更正</w:t>
      </w:r>
      <w:r>
        <w:rPr>
          <w:rFonts w:asciiTheme="minorEastAsia" w:hAnsiTheme="minorEastAsia" w:eastAsiaTheme="minorEastAsia"/>
          <w:color w:val="auto"/>
          <w:sz w:val="24"/>
          <w:highlight w:val="none"/>
        </w:rPr>
        <w:t>内容为准</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.3现场</w:t>
      </w:r>
      <w:r>
        <w:rPr>
          <w:rFonts w:hint="eastAsia" w:asciiTheme="minorEastAsia" w:hAnsiTheme="minorEastAsia" w:eastAsiaTheme="minorEastAsia"/>
          <w:color w:val="auto"/>
          <w:sz w:val="24"/>
          <w:highlight w:val="none"/>
        </w:rPr>
        <w:t>考察</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4如需提供样品，对样品相关要求见采购需求，对样品的评审方法及评审标准见磋商文件第四章。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5供应商</w:t>
      </w:r>
      <w:r>
        <w:rPr>
          <w:rFonts w:asciiTheme="minorEastAsia" w:hAnsiTheme="minorEastAsia" w:eastAsiaTheme="minorEastAsia"/>
          <w:color w:val="auto"/>
          <w:sz w:val="24"/>
          <w:highlight w:val="none"/>
        </w:rPr>
        <w:t>应认真阅读</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文件所有的事项、格式、条款和技术规范等。</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磋商文件的澄清与修改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1供应商</w:t>
      </w:r>
      <w:r>
        <w:rPr>
          <w:rFonts w:asciiTheme="minorEastAsia" w:hAnsiTheme="minorEastAsia" w:eastAsiaTheme="minorEastAsia"/>
          <w:color w:val="auto"/>
          <w:sz w:val="24"/>
          <w:highlight w:val="none"/>
        </w:rPr>
        <w:t>如对</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文件内容有疑问，必须在</w:t>
      </w:r>
      <w:r>
        <w:rPr>
          <w:rFonts w:ascii="宋体" w:hAnsi="宋体" w:eastAsia="宋体"/>
          <w:color w:val="auto"/>
          <w:sz w:val="24"/>
          <w:highlight w:val="none"/>
          <w:u w:val="single"/>
        </w:rPr>
        <w:t>供应商须知前附表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2采购人可主动或在解答供应商提出的问题时对磋商文件进行澄清或者修改。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w:t>
      </w:r>
      <w:bookmarkStart w:id="64" w:name="_Hlk16458572"/>
      <w:r>
        <w:rPr>
          <w:rFonts w:hint="eastAsia" w:ascii="宋体" w:hAnsi="宋体" w:eastAsia="宋体"/>
          <w:color w:val="auto"/>
          <w:sz w:val="24"/>
          <w:szCs w:val="18"/>
          <w:highlight w:val="none"/>
        </w:rPr>
        <w:t>安徽省政府采购网及</w:t>
      </w:r>
      <w:bookmarkEnd w:id="64"/>
      <w:r>
        <w:rPr>
          <w:rFonts w:hint="eastAsia" w:asciiTheme="minorEastAsia" w:hAnsiTheme="minorEastAsia" w:eastAsiaTheme="minorEastAsia"/>
          <w:color w:val="auto"/>
          <w:sz w:val="24"/>
          <w:highlight w:val="none"/>
        </w:rPr>
        <w:t>以发布更正公告的方式澄清或者修改磋商文件，更正公告的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起约束作用</w:t>
      </w:r>
      <w:r>
        <w:rPr>
          <w:rFonts w:hint="eastAsia" w:asciiTheme="minorEastAsia" w:hAnsiTheme="minorEastAsia" w:eastAsiaTheme="minorEastAsia"/>
          <w:color w:val="auto"/>
          <w:sz w:val="24"/>
          <w:highlight w:val="none"/>
        </w:rPr>
        <w:t>。供应商应主动上网查询。采购代理机构不承担供应商未及时关注相关信息引发的相关责任。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6</w:t>
      </w:r>
      <w:r>
        <w:rPr>
          <w:rFonts w:hint="eastAsia" w:ascii="宋体" w:hAnsi="宋体" w:eastAsia="宋体"/>
          <w:color w:val="auto"/>
          <w:sz w:val="24"/>
          <w:highlight w:val="none"/>
        </w:rPr>
        <w:t>.3任何人或任何组织向供应商提供的任何书面或口头资料，未经采购代理机构在网上发布或书面通知，均作无效处理，不得作为磋商文件的组成部分。采购代理机构对供应商由此而做出的推论、理解和结论概不负责。</w:t>
      </w:r>
    </w:p>
    <w:p>
      <w:pPr>
        <w:spacing w:line="360" w:lineRule="auto"/>
        <w:ind w:firstLine="435"/>
        <w:rPr>
          <w:rFonts w:hint="eastAsia" w:asciiTheme="minorEastAsia" w:hAnsiTheme="minorEastAsia" w:eastAsiaTheme="minorEastAsia"/>
          <w:iCs/>
          <w:color w:val="auto"/>
          <w:sz w:val="24"/>
          <w:highlight w:val="none"/>
          <w:lang w:eastAsia="zh-CN"/>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rFonts w:ascii="宋体" w:hAnsi="宋体" w:eastAsia="宋体"/>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询问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本磋商</w:t>
      </w:r>
      <w:r>
        <w:rPr>
          <w:rFonts w:asciiTheme="minorEastAsia" w:hAnsiTheme="minorEastAsia" w:eastAsiaTheme="minorEastAsia"/>
          <w:color w:val="auto"/>
          <w:sz w:val="24"/>
          <w:highlight w:val="none"/>
        </w:rPr>
        <w:t>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lang w:eastAsia="zh-CN"/>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磋商范围及响应文件中标准和计量单位的使用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.1项目有分包的，供应商可</w:t>
      </w:r>
      <w:r>
        <w:rPr>
          <w:rFonts w:hint="eastAsia" w:asciiTheme="minorEastAsia" w:hAnsiTheme="minorEastAsia" w:eastAsiaTheme="minorEastAsia"/>
          <w:color w:val="auto"/>
          <w:sz w:val="24"/>
          <w:highlight w:val="none"/>
        </w:rPr>
        <w:t>参与</w:t>
      </w:r>
      <w:r>
        <w:rPr>
          <w:rFonts w:asciiTheme="minorEastAsia" w:hAnsiTheme="minorEastAsia" w:eastAsiaTheme="minorEastAsia"/>
          <w:color w:val="auto"/>
          <w:sz w:val="24"/>
          <w:highlight w:val="none"/>
        </w:rPr>
        <w:t>其中某一个或</w:t>
      </w:r>
      <w:r>
        <w:rPr>
          <w:rFonts w:hint="eastAsia" w:asciiTheme="minorEastAsia" w:hAnsiTheme="minorEastAsia" w:eastAsiaTheme="minorEastAsia"/>
          <w:color w:val="auto"/>
          <w:sz w:val="24"/>
          <w:highlight w:val="none"/>
        </w:rPr>
        <w:t>多</w:t>
      </w:r>
      <w:r>
        <w:rPr>
          <w:rFonts w:asciiTheme="minorEastAsia" w:hAnsiTheme="minorEastAsia" w:eastAsiaTheme="minorEastAsia"/>
          <w:color w:val="auto"/>
          <w:sz w:val="24"/>
          <w:highlight w:val="none"/>
        </w:rPr>
        <w:t>个分包</w:t>
      </w:r>
      <w:r>
        <w:rPr>
          <w:rFonts w:hint="eastAsia" w:asciiTheme="minorEastAsia" w:hAnsiTheme="minorEastAsia" w:eastAsiaTheme="minorEastAsia"/>
          <w:color w:val="auto"/>
          <w:sz w:val="24"/>
          <w:highlight w:val="none"/>
        </w:rPr>
        <w:t>的磋商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成交包数详见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中规定。</w:t>
      </w:r>
    </w:p>
    <w:p>
      <w:pPr>
        <w:spacing w:line="360" w:lineRule="auto"/>
        <w:ind w:firstLine="435"/>
        <w:rPr>
          <w:rFonts w:hint="default" w:eastAsiaTheme="minorEastAsia"/>
          <w:highlight w:val="none"/>
          <w:lang w:val="en-US" w:eastAsia="zh-CN"/>
        </w:rPr>
      </w:pPr>
      <w:r>
        <w:rPr>
          <w:rFonts w:hint="eastAsia" w:asciiTheme="minorEastAsia" w:hAnsiTheme="minorEastAsia" w:eastAsiaTheme="minorEastAsia"/>
          <w:color w:val="auto"/>
          <w:sz w:val="24"/>
          <w:highlight w:val="none"/>
          <w:lang w:val="en-US" w:eastAsia="zh-CN"/>
        </w:rPr>
        <w:t>7.2 供应商</w:t>
      </w:r>
      <w:r>
        <w:rPr>
          <w:rFonts w:asciiTheme="minorEastAsia" w:hAnsiTheme="minorEastAsia" w:eastAsiaTheme="minorEastAsia"/>
          <w:color w:val="auto"/>
          <w:sz w:val="24"/>
          <w:highlight w:val="none"/>
        </w:rPr>
        <w:t>应当对所投分包</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文件中“</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需求”所列的所有内容进行</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，如仅响应</w:t>
      </w:r>
      <w:r>
        <w:rPr>
          <w:rFonts w:hint="eastAsia" w:asciiTheme="minorEastAsia" w:hAnsiTheme="minorEastAsia" w:eastAsiaTheme="minorEastAsia"/>
          <w:color w:val="auto"/>
          <w:sz w:val="24"/>
          <w:highlight w:val="none"/>
        </w:rPr>
        <w:t>所投包别</w:t>
      </w:r>
      <w:r>
        <w:rPr>
          <w:rFonts w:asciiTheme="minorEastAsia" w:hAnsiTheme="minorEastAsia" w:eastAsiaTheme="minorEastAsia"/>
          <w:color w:val="auto"/>
          <w:sz w:val="24"/>
          <w:highlight w:val="none"/>
        </w:rPr>
        <w:t>中的部分内容，其</w:t>
      </w:r>
      <w:r>
        <w:rPr>
          <w:rFonts w:hint="eastAsia" w:asciiTheme="minorEastAsia" w:hAnsiTheme="minorEastAsia" w:eastAsiaTheme="minorEastAsia"/>
          <w:color w:val="auto"/>
          <w:sz w:val="24"/>
          <w:highlight w:val="none"/>
        </w:rPr>
        <w:t>所投包别的</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lang w:val="en-US" w:eastAsia="zh-CN"/>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无论磋商文件中是否要求，供应商所投货物及伴随的服务和工程均应符合国家强制性标准。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供应商与采购代理机构之间与磋商有关的所有往来通知、函件和响应文件均用中文表述。供应商随响应文件提供的证明文件和资料可以为其它语言，但必须附中文译文。翻译的中文资料与外文资料如果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除磋商文件中有特殊要求外，响应文件中所使用的计量单位，应采用中华人民共和国法定计量单位。</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响应文件构成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w:t>
      </w:r>
      <w:r>
        <w:rPr>
          <w:rFonts w:hint="eastAsia" w:ascii="宋体" w:hAnsi="宋体" w:eastAsia="宋体"/>
          <w:color w:val="auto"/>
          <w:sz w:val="24"/>
          <w:highlight w:val="none"/>
          <w:lang w:val="en-US" w:eastAsia="zh-CN"/>
        </w:rPr>
        <w:t>供应商</w:t>
      </w:r>
      <w:r>
        <w:rPr>
          <w:rFonts w:asciiTheme="minorEastAsia" w:hAnsiTheme="minorEastAsia" w:eastAsiaTheme="minorEastAsia"/>
          <w:color w:val="auto"/>
          <w:sz w:val="24"/>
          <w:highlight w:val="none"/>
        </w:rPr>
        <w:t>应完整地按</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文件提供的</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文件格式及要求</w:t>
      </w:r>
      <w:r>
        <w:rPr>
          <w:rFonts w:hint="eastAsia" w:asciiTheme="minorEastAsia" w:hAnsiTheme="minorEastAsia" w:eastAsiaTheme="minorEastAsia"/>
          <w:color w:val="auto"/>
          <w:sz w:val="24"/>
          <w:highlight w:val="none"/>
        </w:rPr>
        <w:t>编</w:t>
      </w:r>
      <w:r>
        <w:rPr>
          <w:rFonts w:asciiTheme="minorEastAsia" w:hAnsiTheme="minorEastAsia" w:eastAsiaTheme="minorEastAsia"/>
          <w:color w:val="auto"/>
          <w:sz w:val="24"/>
          <w:highlight w:val="none"/>
        </w:rPr>
        <w:t>写</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具体内容详见本项目</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文件格式的相关内容。</w:t>
      </w:r>
    </w:p>
    <w:p>
      <w:pPr>
        <w:spacing w:line="360" w:lineRule="auto"/>
        <w:ind w:firstLine="435"/>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8.2</w:t>
      </w:r>
      <w:r>
        <w:rPr>
          <w:rFonts w:hint="eastAsia" w:ascii="宋体" w:hAnsi="宋体" w:eastAsia="宋体"/>
          <w:color w:val="auto"/>
          <w:sz w:val="24"/>
          <w:highlight w:val="none"/>
          <w:lang w:val="en-US" w:eastAsia="zh-CN"/>
        </w:rPr>
        <w:t>供应商</w:t>
      </w:r>
      <w:r>
        <w:rPr>
          <w:rFonts w:asciiTheme="minorEastAsia" w:hAnsiTheme="minorEastAsia" w:eastAsiaTheme="minorEastAsia"/>
          <w:color w:val="auto"/>
          <w:sz w:val="24"/>
          <w:highlight w:val="none"/>
        </w:rPr>
        <w:t>应提交</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文件要求的</w:t>
      </w:r>
      <w:r>
        <w:rPr>
          <w:rFonts w:asciiTheme="minorEastAsia" w:hAnsiTheme="minorEastAsia" w:eastAsiaTheme="minorEastAsia"/>
          <w:color w:val="auto"/>
          <w:sz w:val="24"/>
          <w:highlight w:val="none"/>
        </w:rPr>
        <w:t>证明文件，证明其</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内容符合</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文件规定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该证明文件是</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文件的一部分</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r>
        <w:rPr>
          <w:rFonts w:hint="eastAsia" w:asciiTheme="minorEastAsia" w:hAnsiTheme="minorEastAsia" w:eastAsiaTheme="minorEastAsia"/>
          <w:color w:val="auto"/>
          <w:sz w:val="24"/>
          <w:highlight w:val="none"/>
          <w:lang w:val="en-US" w:eastAsia="zh-CN"/>
        </w:rPr>
        <w:t>等。</w:t>
      </w:r>
    </w:p>
    <w:p>
      <w:pPr>
        <w:spacing w:line="360" w:lineRule="auto"/>
        <w:ind w:firstLine="435"/>
        <w:rPr>
          <w:rFonts w:hint="default" w:asciiTheme="minorEastAsia" w:hAnsiTheme="minorEastAsia" w:eastAsiaTheme="minorEastAsia"/>
          <w:color w:val="auto"/>
          <w:sz w:val="24"/>
          <w:highlight w:val="yellow"/>
          <w:lang w:val="en-US" w:eastAsia="zh-CN"/>
        </w:rPr>
      </w:pPr>
      <w:r>
        <w:rPr>
          <w:rFonts w:hint="eastAsia" w:asciiTheme="minorEastAsia" w:hAnsiTheme="minorEastAsia" w:eastAsiaTheme="minorEastAsia"/>
          <w:color w:val="auto"/>
          <w:sz w:val="24"/>
          <w:highlight w:val="none"/>
          <w:lang w:val="en-US" w:eastAsia="zh-CN"/>
        </w:rPr>
        <w:t>8.3</w:t>
      </w:r>
      <w:r>
        <w:rPr>
          <w:rFonts w:asciiTheme="minorEastAsia" w:hAnsiTheme="minorEastAsia" w:eastAsiaTheme="minorEastAsia"/>
          <w:color w:val="auto"/>
          <w:sz w:val="24"/>
          <w:highlight w:val="none"/>
        </w:rPr>
        <w:t>为保证</w:t>
      </w:r>
      <w:r>
        <w:rPr>
          <w:rFonts w:ascii="宋体" w:hAnsi="宋体" w:eastAsia="宋体"/>
          <w:color w:val="auto"/>
          <w:sz w:val="24"/>
          <w:highlight w:val="none"/>
        </w:rPr>
        <w:t>公平</w:t>
      </w:r>
      <w:r>
        <w:rPr>
          <w:rFonts w:asciiTheme="minorEastAsia" w:hAnsiTheme="minorEastAsia" w:eastAsiaTheme="minorEastAsia"/>
          <w:color w:val="auto"/>
          <w:sz w:val="24"/>
          <w:highlight w:val="none"/>
        </w:rPr>
        <w:t>公正，除非另有规定或说明，</w:t>
      </w:r>
      <w:r>
        <w:rPr>
          <w:rFonts w:hint="eastAsia" w:asciiTheme="minorEastAsia" w:hAnsiTheme="minorEastAsia" w:eastAsiaTheme="minorEastAsia"/>
          <w:color w:val="auto"/>
          <w:sz w:val="24"/>
          <w:highlight w:val="none"/>
          <w:lang w:val="en-US" w:eastAsia="zh-CN"/>
        </w:rPr>
        <w:t>供应商</w:t>
      </w:r>
      <w:r>
        <w:rPr>
          <w:rFonts w:asciiTheme="minorEastAsia" w:hAnsiTheme="minorEastAsia" w:eastAsiaTheme="minorEastAsia"/>
          <w:color w:val="auto"/>
          <w:sz w:val="24"/>
          <w:highlight w:val="none"/>
        </w:rPr>
        <w:t>对同一项目</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时，不得同时提供</w:t>
      </w:r>
      <w:r>
        <w:rPr>
          <w:rFonts w:hint="eastAsia" w:asciiTheme="minorEastAsia" w:hAnsiTheme="minorEastAsia" w:eastAsiaTheme="minorEastAsia"/>
          <w:color w:val="auto"/>
          <w:sz w:val="24"/>
          <w:highlight w:val="none"/>
        </w:rPr>
        <w:t>备选</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的报价应当包括满足本次</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全部采购需求所应提供的</w:t>
      </w:r>
      <w:r>
        <w:rPr>
          <w:rFonts w:hint="eastAsia" w:asciiTheme="minorEastAsia" w:hAnsiTheme="minorEastAsia" w:eastAsiaTheme="minorEastAsia"/>
          <w:color w:val="auto"/>
          <w:sz w:val="24"/>
          <w:highlight w:val="none"/>
        </w:rPr>
        <w:t>货物，</w:t>
      </w:r>
      <w:r>
        <w:rPr>
          <w:rFonts w:asciiTheme="minorEastAsia" w:hAnsiTheme="minorEastAsia" w:eastAsiaTheme="minorEastAsia"/>
          <w:color w:val="auto"/>
          <w:sz w:val="24"/>
          <w:highlight w:val="none"/>
        </w:rPr>
        <w:t>以及伴随的</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和工程</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除磋商文件另有规定外，</w:t>
      </w:r>
      <w:r>
        <w:rPr>
          <w:rFonts w:hint="eastAsia" w:asciiTheme="minorEastAsia" w:hAnsiTheme="minorEastAsia" w:eastAsiaTheme="minorEastAsia"/>
          <w:color w:val="auto"/>
          <w:sz w:val="24"/>
          <w:highlight w:val="none"/>
        </w:rPr>
        <w:t>所有内容均应以人民币报价，供应商的磋商报价应遵守《中华人民共和国价格法》。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除非磋商文件另有规定或经采购人同意支付的，最后报价均不得高于磋商文件（公告）列明的项目预算，否则其响应文件将被认定为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在合同履行过程中是固定不变的，不得以任何理由予以变更。任何包含价格调整要求的</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，其</w:t>
      </w:r>
      <w:r>
        <w:rPr>
          <w:rFonts w:hint="eastAsia" w:asciiTheme="minorEastAsia" w:hAnsiTheme="minorEastAsia" w:eastAsiaTheme="minorEastAsia"/>
          <w:color w:val="auto"/>
          <w:sz w:val="24"/>
          <w:highlight w:val="none"/>
        </w:rPr>
        <w:t>响应文件将被认定为</w:t>
      </w:r>
      <w:r>
        <w:rPr>
          <w:rFonts w:hint="eastAsia"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10</w:t>
      </w:r>
      <w:r>
        <w:rPr>
          <w:rFonts w:hint="eastAsia" w:asciiTheme="minorEastAsia" w:hAnsiTheme="minorEastAsia" w:eastAsiaTheme="minorEastAsia"/>
          <w:color w:val="auto"/>
          <w:sz w:val="24"/>
          <w:highlight w:val="none"/>
        </w:rPr>
        <w:t>.1本项目不收取磋商保证金。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磋商有效期</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.1磋商有效期为从响应文件提交截止之日算起的日历天数，磋商有效期详见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.2在磋商有效期内，供应商的磋商保持有效，供应商不得要求撤销或修改其响应文件。磋商有效期不满足要求的响应，其响应文件将被认定为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3为保证有充分时间签订合同，采购人或采购代理机构可根据实际情况，在原磋商有效期截止之前，要求供应商延长磋商有效期。接受该要求的供应商将不会被要求和允许修正其响应文件。供应商可以拒绝延长磋商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响应文件的提交、修改与撤回</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.1供应商应当在第一章</w:t>
      </w:r>
      <w:r>
        <w:rPr>
          <w:rFonts w:hint="eastAsia" w:asciiTheme="minorEastAsia" w:hAnsiTheme="minorEastAsia" w:eastAsiaTheme="minorEastAsia"/>
          <w:color w:val="auto"/>
          <w:sz w:val="24"/>
          <w:highlight w:val="none"/>
          <w:u w:val="none"/>
          <w:lang w:val="en-US" w:eastAsia="zh-CN"/>
        </w:rPr>
        <w:t>竞争性磋商公告</w:t>
      </w:r>
      <w:r>
        <w:rPr>
          <w:rFonts w:hint="eastAsia" w:asciiTheme="minorEastAsia" w:hAnsiTheme="minorEastAsia" w:eastAsiaTheme="minorEastAsia"/>
          <w:color w:val="auto"/>
          <w:sz w:val="24"/>
          <w:highlight w:val="none"/>
        </w:rPr>
        <w:t>规定的响应文件提交截止时间前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2供应商应当在响应文件提交截止时间前完成响应文件的传输提交（以接收到电子签收凭证为准），并可以补充、修改或者撤回响应文件。响应文件提交截止时间前未完成响应文件传输的，视为撤回响应文件。未按规定加密或响应文件提交截止时间后送达的响应文件，电子交易系统应当拒收。</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供应商应在</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规定的解密时间前对</w:t>
      </w:r>
      <w:r>
        <w:rPr>
          <w:rFonts w:hint="eastAsia" w:asciiTheme="minorEastAsia" w:hAnsiTheme="minorEastAsia" w:eastAsiaTheme="minorEastAsia"/>
          <w:color w:val="auto"/>
          <w:sz w:val="24"/>
          <w:highlight w:val="none"/>
          <w:lang w:val="en-US" w:eastAsia="zh-CN"/>
        </w:rPr>
        <w:t>其</w:t>
      </w:r>
      <w:r>
        <w:rPr>
          <w:rFonts w:hint="eastAsia" w:asciiTheme="minorEastAsia" w:hAnsiTheme="minorEastAsia" w:eastAsiaTheme="minorEastAsia"/>
          <w:color w:val="auto"/>
          <w:sz w:val="24"/>
          <w:highlight w:val="none"/>
        </w:rPr>
        <w:t>响应文件进行解密。</w:t>
      </w:r>
      <w:r>
        <w:rPr>
          <w:rFonts w:hint="eastAsia" w:asciiTheme="minorEastAsia" w:hAnsiTheme="minorEastAsia" w:eastAsiaTheme="minorEastAsia"/>
          <w:color w:val="auto"/>
          <w:sz w:val="24"/>
          <w:highlight w:val="none"/>
          <w:lang w:val="en-US" w:eastAsia="zh-CN"/>
        </w:rPr>
        <w:t>未在规定时间内进行解密的，</w:t>
      </w:r>
      <w:r>
        <w:rPr>
          <w:rFonts w:hint="eastAsia" w:asciiTheme="minorEastAsia" w:hAnsiTheme="minorEastAsia" w:eastAsiaTheme="minorEastAsia"/>
          <w:b/>
          <w:bCs/>
          <w:color w:val="auto"/>
          <w:sz w:val="24"/>
          <w:highlight w:val="none"/>
          <w:lang w:val="en-US" w:eastAsia="zh-CN"/>
        </w:rPr>
        <w:t>响应无效。</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.4在响应文件提交截止时间之后，供应商不得对其响应文件做任何修改。</w:t>
      </w:r>
      <w:r>
        <w:rPr>
          <w:rFonts w:hint="eastAsia" w:ascii="宋体" w:hAnsi="宋体" w:eastAsia="宋体"/>
          <w:color w:val="auto"/>
          <w:sz w:val="24"/>
          <w:highlight w:val="none"/>
        </w:rPr>
        <w:t>但属于磋商小组在评审中发现的计算错误并进行核实的修改、按照磋商文件的变动情况和磋商小组的要求重新提交响应文件的，不在此列。</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磋商小组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13</w:t>
      </w:r>
      <w:r>
        <w:rPr>
          <w:rFonts w:asciiTheme="minorEastAsia" w:hAnsiTheme="minorEastAsia" w:eastAsiaTheme="minorEastAsia"/>
          <w:color w:val="auto"/>
          <w:sz w:val="24"/>
          <w:highlight w:val="none"/>
        </w:rPr>
        <w:t>.1本项目将依法组建磋商小组，磋商小组成员由3人以上</w:t>
      </w:r>
      <w:r>
        <w:rPr>
          <w:rFonts w:hint="eastAsia" w:asciiTheme="minorEastAsia" w:hAnsiTheme="minorEastAsia" w:eastAsiaTheme="minorEastAsia"/>
          <w:color w:val="auto"/>
          <w:sz w:val="24"/>
          <w:highlight w:val="none"/>
        </w:rPr>
        <w:t>（含）</w:t>
      </w:r>
      <w:r>
        <w:rPr>
          <w:rFonts w:asciiTheme="minorEastAsia" w:hAnsiTheme="minorEastAsia" w:eastAsiaTheme="minorEastAsia"/>
          <w:color w:val="auto"/>
          <w:sz w:val="24"/>
          <w:highlight w:val="none"/>
        </w:rPr>
        <w:t>单数组成，磋商小组及其成员应当依照政府采购的有关规定履行相关职责和义务。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13</w:t>
      </w:r>
      <w:r>
        <w:rPr>
          <w:rFonts w:asciiTheme="minorEastAsia" w:hAnsiTheme="minorEastAsia" w:eastAsiaTheme="minorEastAsia"/>
          <w:color w:val="auto"/>
          <w:sz w:val="24"/>
          <w:highlight w:val="none"/>
        </w:rPr>
        <w:t>.2磋商小组依法对响应文件进行评审，并根据磋商文件规定的程序、评定成交的标准等事项与实质性响应磋商文件要求的供应商进行磋商。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13</w:t>
      </w:r>
      <w:r>
        <w:rPr>
          <w:rFonts w:asciiTheme="minorEastAsia" w:hAnsiTheme="minorEastAsia" w:eastAsiaTheme="minorEastAsia"/>
          <w:color w:val="auto"/>
          <w:sz w:val="24"/>
          <w:highlight w:val="none"/>
        </w:rPr>
        <w:t>.3磋商小组应当从质量和服务均能满足磋商文件实质性响应要求的供应商中，按照评审方法和标准</w:t>
      </w:r>
      <w:r>
        <w:rPr>
          <w:rFonts w:hint="eastAsia" w:asciiTheme="minorEastAsia" w:hAnsiTheme="minorEastAsia" w:eastAsiaTheme="minorEastAsia"/>
          <w:color w:val="auto"/>
          <w:sz w:val="24"/>
          <w:highlight w:val="none"/>
        </w:rPr>
        <w:t>推荐</w:t>
      </w:r>
      <w:r>
        <w:rPr>
          <w:rFonts w:asciiTheme="minorEastAsia" w:hAnsiTheme="minorEastAsia" w:eastAsiaTheme="minorEastAsia"/>
          <w:color w:val="auto"/>
          <w:sz w:val="24"/>
          <w:highlight w:val="none"/>
        </w:rPr>
        <w:t>成交候选供应商，并编写</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报告。</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14</w:t>
      </w:r>
      <w:r>
        <w:rPr>
          <w:rFonts w:asciiTheme="minorEastAsia" w:hAnsiTheme="minorEastAsia" w:eastAsiaTheme="minorEastAsia"/>
          <w:b/>
          <w:color w:val="auto"/>
          <w:sz w:val="24"/>
          <w:highlight w:val="none"/>
        </w:rPr>
        <w:t>.响应文件的评审与磋商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1采购人和采购代理机构将在</w:t>
      </w:r>
      <w:r>
        <w:rPr>
          <w:rFonts w:hint="eastAsia" w:asciiTheme="minorEastAsia" w:hAnsiTheme="minorEastAsia" w:eastAsiaTheme="minorEastAsia"/>
          <w:color w:val="auto"/>
          <w:sz w:val="24"/>
          <w:highlight w:val="none"/>
          <w:u w:val="none"/>
          <w:lang w:val="en-US" w:eastAsia="zh-CN"/>
        </w:rPr>
        <w:t>竞争性磋商公告</w:t>
      </w:r>
      <w:r>
        <w:rPr>
          <w:rFonts w:hint="eastAsia" w:asciiTheme="minorEastAsia" w:hAnsiTheme="minorEastAsia" w:eastAsiaTheme="minorEastAsia"/>
          <w:color w:val="auto"/>
          <w:sz w:val="24"/>
          <w:highlight w:val="none"/>
        </w:rPr>
        <w:t>规定的时间和地点组织磋商。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.2竞争性磋商活动采用综合评分法评审。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综合评分法，是指响应文件满足磋商文件全部实质性要求且按评审因素的量化指标评审得分最高的供应商为成交候选供应商的评审方法。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.3磋商小组将按照磋商文件规定的评审方法和标准对供应商独立进行评审。评审程序如下：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.3.1</w:t>
      </w:r>
      <w:r>
        <w:rPr>
          <w:rFonts w:hint="eastAsia" w:asciiTheme="minorEastAsia" w:hAnsiTheme="minorEastAsia" w:eastAsiaTheme="minorEastAsia"/>
          <w:b/>
          <w:color w:val="auto"/>
          <w:sz w:val="24"/>
          <w:highlight w:val="none"/>
        </w:rPr>
        <w:t>初审</w:t>
      </w:r>
      <w:r>
        <w:rPr>
          <w:rFonts w:hint="eastAsia" w:asciiTheme="minorEastAsia" w:hAnsiTheme="minorEastAsia" w:eastAsiaTheme="minorEastAsia"/>
          <w:color w:val="auto"/>
          <w:sz w:val="24"/>
          <w:highlight w:val="none"/>
        </w:rPr>
        <w:t>。磋商小组对供应商必须满足和实质性响应的内容进行评审，供应商未实质性响应磋商文件要求导致响应无效的，磋商小组将以书面询标的方式告知有关供应商。</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将被认定为</w:t>
      </w:r>
      <w:r>
        <w:rPr>
          <w:rFonts w:hint="eastAsia" w:ascii="宋体" w:hAnsi="宋体" w:eastAsia="宋体" w:cs="宋体"/>
          <w:b/>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文件规定的查询时间之外，网站信息发生的任何变更均不作为初审依据。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.3.2</w:t>
      </w:r>
      <w:r>
        <w:rPr>
          <w:rFonts w:hint="eastAsia" w:asciiTheme="minorEastAsia" w:hAnsiTheme="minorEastAsia" w:eastAsiaTheme="minorEastAsia"/>
          <w:b/>
          <w:color w:val="auto"/>
          <w:sz w:val="24"/>
          <w:highlight w:val="none"/>
        </w:rPr>
        <w:t>磋商</w:t>
      </w:r>
      <w:r>
        <w:rPr>
          <w:rFonts w:hint="eastAsia" w:asciiTheme="minorEastAsia" w:hAnsiTheme="minorEastAsia" w:eastAsiaTheme="minorEastAsia"/>
          <w:color w:val="auto"/>
          <w:sz w:val="24"/>
          <w:highlight w:val="none"/>
        </w:rPr>
        <w:t>。初审合格后，磋商小组将按网上加密电子响应文件提交顺序集中与单一供应商分别进行磋商，并给予所有参加磋商的供应商平等的磋商机会。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.3.3</w:t>
      </w:r>
      <w:r>
        <w:rPr>
          <w:rFonts w:asciiTheme="minorEastAsia" w:hAnsiTheme="minorEastAsia" w:eastAsiaTheme="minorEastAsia"/>
          <w:b/>
          <w:color w:val="auto"/>
          <w:sz w:val="24"/>
          <w:highlight w:val="none"/>
        </w:rPr>
        <w:t>报价</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磋商结束后，磋商小组应当要求所有</w:t>
      </w:r>
      <w:r>
        <w:rPr>
          <w:rFonts w:hint="eastAsia" w:asciiTheme="minorEastAsia" w:hAnsiTheme="minorEastAsia" w:eastAsiaTheme="minorEastAsia"/>
          <w:color w:val="auto"/>
          <w:sz w:val="24"/>
          <w:highlight w:val="none"/>
        </w:rPr>
        <w:t>实质性响应</w:t>
      </w:r>
      <w:r>
        <w:rPr>
          <w:rFonts w:asciiTheme="minorEastAsia" w:hAnsiTheme="minorEastAsia" w:eastAsiaTheme="minorEastAsia"/>
          <w:color w:val="auto"/>
          <w:sz w:val="24"/>
          <w:highlight w:val="none"/>
        </w:rPr>
        <w:t>的供应商在规定时间内提交最后报价</w:t>
      </w:r>
      <w:r>
        <w:rPr>
          <w:rFonts w:hint="eastAsia" w:ascii="宋体" w:hAnsi="宋体" w:eastAsia="宋体"/>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.3.4</w:t>
      </w:r>
      <w:r>
        <w:rPr>
          <w:rFonts w:hint="eastAsia" w:asciiTheme="minorEastAsia" w:hAnsiTheme="minorEastAsia" w:eastAsiaTheme="minorEastAsia"/>
          <w:b/>
          <w:color w:val="auto"/>
          <w:sz w:val="24"/>
          <w:highlight w:val="none"/>
        </w:rPr>
        <w:t>综合评分</w:t>
      </w:r>
      <w:r>
        <w:rPr>
          <w:rFonts w:hint="eastAsia" w:asciiTheme="minorEastAsia" w:hAnsiTheme="minorEastAsia" w:eastAsiaTheme="minorEastAsia"/>
          <w:color w:val="auto"/>
          <w:sz w:val="24"/>
          <w:highlight w:val="none"/>
        </w:rPr>
        <w:t>。磋商小组只对通过初审，实质上响应磋商文件要求的响应文件进行综合评分。经磋商确定最终采购需求和提交最后报价的供应商后，由磋商小组采用综合评分法对提交最后报价的供应商的响应文件和最后报价进行综合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.4相关说明。</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 xml:space="preserve">.4.1为保证磋商活动顺利进行，供应商可派相关技术人员进行网上答疑； </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.4.2磋</w:t>
      </w:r>
      <w:r>
        <w:rPr>
          <w:rFonts w:asciiTheme="minorEastAsia" w:hAnsiTheme="minorEastAsia" w:eastAsiaTheme="minorEastAsia"/>
          <w:color w:val="auto"/>
          <w:sz w:val="24"/>
          <w:highlight w:val="none"/>
        </w:rPr>
        <w:t>商小组根据与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磋商情况可能实质性变动</w:t>
      </w:r>
      <w:r>
        <w:rPr>
          <w:rFonts w:hint="eastAsia" w:asciiTheme="minorEastAsia" w:hAnsiTheme="minorEastAsia" w:eastAsiaTheme="minorEastAsia"/>
          <w:color w:val="auto"/>
          <w:sz w:val="24"/>
          <w:highlight w:val="none"/>
        </w:rPr>
        <w:t>磋商文件</w:t>
      </w:r>
      <w:r>
        <w:rPr>
          <w:rFonts w:asciiTheme="minorEastAsia" w:hAnsiTheme="minorEastAsia" w:eastAsiaTheme="minorEastAsia"/>
          <w:color w:val="auto"/>
          <w:sz w:val="24"/>
          <w:highlight w:val="none"/>
        </w:rPr>
        <w:t>的内容，包括采购需求中的技术、服务要求以及合同草案条款。磋商文件有实质性变动的，</w:t>
      </w:r>
      <w:r>
        <w:rPr>
          <w:rFonts w:hint="eastAsia" w:asciiTheme="minorEastAsia" w:hAnsiTheme="minorEastAsia" w:eastAsiaTheme="minorEastAsia"/>
          <w:color w:val="auto"/>
          <w:sz w:val="24"/>
          <w:highlight w:val="none"/>
        </w:rPr>
        <w:t>经采购人代表确认作为磋商文件的有效组成部分，</w:t>
      </w:r>
      <w:r>
        <w:rPr>
          <w:rFonts w:asciiTheme="minorEastAsia" w:hAnsiTheme="minorEastAsia" w:eastAsiaTheme="minorEastAsia"/>
          <w:color w:val="auto"/>
          <w:sz w:val="24"/>
          <w:highlight w:val="none"/>
        </w:rPr>
        <w:t>磋商小组</w:t>
      </w:r>
      <w:r>
        <w:rPr>
          <w:rFonts w:hint="eastAsia" w:asciiTheme="minorEastAsia" w:hAnsiTheme="minorEastAsia" w:eastAsiaTheme="minorEastAsia"/>
          <w:color w:val="auto"/>
          <w:sz w:val="24"/>
          <w:highlight w:val="none"/>
        </w:rPr>
        <w:t>将</w:t>
      </w:r>
      <w:r>
        <w:rPr>
          <w:rFonts w:asciiTheme="minorEastAsia" w:hAnsiTheme="minorEastAsia" w:eastAsiaTheme="minorEastAsia"/>
          <w:color w:val="auto"/>
          <w:sz w:val="24"/>
          <w:highlight w:val="none"/>
        </w:rPr>
        <w:t>以书面形式通知所有参加磋商的供应商。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4.3磋商小组发现供应商的报价或者某些分项报价明显低于其他通过初审的供应商的报价，有可能影响产品质量和不能诚信履约的，应当要求其在合理的时间内提供书面说明，必要时提交相关证明材料；供应商不能证明其报价合理性的，其响应文件将被认定为</w:t>
      </w:r>
      <w:r>
        <w:rPr>
          <w:rFonts w:hint="eastAsia" w:asciiTheme="minorEastAsia" w:hAnsiTheme="minorEastAsia" w:eastAsiaTheme="minorEastAsia"/>
          <w:b/>
          <w:color w:val="auto"/>
          <w:sz w:val="24"/>
          <w:highlight w:val="none"/>
        </w:rPr>
        <w:t>响应无效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.4.4</w:t>
      </w:r>
      <w:r>
        <w:rPr>
          <w:rFonts w:asciiTheme="minorEastAsia" w:hAnsiTheme="minorEastAsia" w:eastAsiaTheme="minorEastAsia"/>
          <w:color w:val="auto"/>
          <w:sz w:val="24"/>
          <w:highlight w:val="none"/>
        </w:rPr>
        <w:t>无论何种原因，即使供应商</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时携带了证书材料的原件，但响应文件中未提供与之内容完全一致的</w:t>
      </w:r>
      <w:r>
        <w:rPr>
          <w:rFonts w:hint="eastAsia" w:asciiTheme="minorEastAsia" w:hAnsiTheme="minorEastAsia" w:eastAsiaTheme="minorEastAsia"/>
          <w:color w:val="auto"/>
          <w:sz w:val="24"/>
          <w:highlight w:val="none"/>
        </w:rPr>
        <w:t>扫描件</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小组可以视同其未提供。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.4.5磋商</w:t>
      </w:r>
      <w:r>
        <w:rPr>
          <w:rFonts w:asciiTheme="minorEastAsia" w:hAnsiTheme="minorEastAsia" w:eastAsiaTheme="minorEastAsia"/>
          <w:color w:val="auto"/>
          <w:sz w:val="24"/>
          <w:highlight w:val="none"/>
        </w:rPr>
        <w:t>小组决定响应文件的响应性及符合性只根据响应文件本身的内容，而不寻求其他外部证据。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供应商</w:t>
      </w:r>
      <w:r>
        <w:rPr>
          <w:rFonts w:hint="eastAsia" w:asciiTheme="minorEastAsia" w:hAnsiTheme="minorEastAsia" w:eastAsiaTheme="minorEastAsia"/>
          <w:color w:val="auto"/>
          <w:sz w:val="24"/>
          <w:highlight w:val="none"/>
        </w:rPr>
        <w:t>授权</w:t>
      </w:r>
      <w:r>
        <w:rPr>
          <w:rFonts w:asciiTheme="minorEastAsia" w:hAnsiTheme="minorEastAsia" w:eastAsiaTheme="minorEastAsia"/>
          <w:color w:val="auto"/>
          <w:sz w:val="24"/>
          <w:highlight w:val="none"/>
        </w:rPr>
        <w:t>代表对</w:t>
      </w:r>
      <w:r>
        <w:rPr>
          <w:rFonts w:hint="eastAsia" w:asciiTheme="minorEastAsia" w:hAnsiTheme="minorEastAsia" w:eastAsiaTheme="minorEastAsia"/>
          <w:color w:val="auto"/>
          <w:sz w:val="24"/>
          <w:highlight w:val="none"/>
        </w:rPr>
        <w:t>磋商过程</w:t>
      </w:r>
      <w:r>
        <w:rPr>
          <w:rFonts w:asciiTheme="minorEastAsia" w:hAnsiTheme="minorEastAsia" w:eastAsiaTheme="minorEastAsia"/>
          <w:color w:val="auto"/>
          <w:sz w:val="24"/>
          <w:highlight w:val="none"/>
        </w:rPr>
        <w:t>有疑义，以及认为采购人、采购代理机构相关工作人员有需要回避的情形的，应当场提出询问或者回避申请</w:t>
      </w:r>
      <w:r>
        <w:rPr>
          <w:rFonts w:hint="eastAsia" w:asciiTheme="minorEastAsia" w:hAnsiTheme="minorEastAsia" w:eastAsiaTheme="minorEastAsia"/>
          <w:color w:val="auto"/>
          <w:sz w:val="24"/>
          <w:highlight w:val="none"/>
        </w:rPr>
        <w:t>，并说明理由。</w:t>
      </w:r>
      <w:r>
        <w:rPr>
          <w:rFonts w:asciiTheme="minorEastAsia" w:hAnsiTheme="minorEastAsia" w:eastAsiaTheme="minorEastAsia"/>
          <w:color w:val="auto"/>
          <w:sz w:val="24"/>
          <w:highlight w:val="none"/>
        </w:rPr>
        <w:t xml:space="preserve"> </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.终止竞争性磋商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.1出现下列情况之一时，采购人和采购代理机构有权宣布终止竞争性磋商采购，并将理由通知所有供应商：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（1）有效供应商数量不足，导致本次磋商缺乏竞争的；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（2）出现影响采购公正的违法、违规行为的；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（3）因重大变故，采购任务取消的；</w:t>
      </w:r>
    </w:p>
    <w:p>
      <w:pPr>
        <w:spacing w:line="360" w:lineRule="auto"/>
        <w:ind w:firstLine="437"/>
        <w:outlineLvl w:val="2"/>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（4）政府采购法律法规规定的其他情形。</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16</w:t>
      </w:r>
      <w:r>
        <w:rPr>
          <w:rFonts w:asciiTheme="minorEastAsia" w:hAnsiTheme="minorEastAsia" w:eastAsiaTheme="minorEastAsia"/>
          <w:b/>
          <w:color w:val="auto"/>
          <w:sz w:val="24"/>
          <w:highlight w:val="none"/>
        </w:rPr>
        <w:t>.响应文件的澄清、说明或</w:t>
      </w:r>
      <w:r>
        <w:rPr>
          <w:rFonts w:hint="eastAsia" w:asciiTheme="minorEastAsia" w:hAnsiTheme="minorEastAsia" w:eastAsiaTheme="minorEastAsia"/>
          <w:b/>
          <w:color w:val="auto"/>
          <w:sz w:val="24"/>
          <w:highlight w:val="none"/>
        </w:rPr>
        <w:t>更正</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1磋商小组将对响应文件的有效性、完整性和响应程度进行审查，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对不同文字文本响应文件的解释发生异议的，以中文文本为准。</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.2磋商小组要求供应商澄清、说明或者更正响应文件应当以书面形式（询标）作出。供应商的澄清、说明或者更正应当由法定代表人或其授权代表签字或者加盖公章</w:t>
      </w:r>
      <w:r>
        <w:rPr>
          <w:rFonts w:hint="eastAsia" w:ascii="宋体" w:hAnsi="宋体" w:eastAsia="宋体"/>
          <w:color w:val="auto"/>
          <w:sz w:val="24"/>
          <w:highlight w:val="none"/>
          <w:lang w:eastAsia="zh-CN"/>
        </w:rPr>
        <w:t>（</w:t>
      </w:r>
      <w:r>
        <w:rPr>
          <w:rFonts w:hint="eastAsia" w:ascii="宋体" w:hAnsi="宋体" w:eastAsia="宋体"/>
          <w:color w:val="auto"/>
          <w:sz w:val="24"/>
          <w:highlight w:val="none"/>
          <w:lang w:val="en-US" w:eastAsia="zh-CN"/>
        </w:rPr>
        <w:t>电子签章</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b/>
          <w:color w:val="auto"/>
          <w:sz w:val="24"/>
          <w:highlight w:val="none"/>
        </w:rPr>
        <w:t>如有询标，授权代表（或法定代表人）可通过远程登录的方式接受网上询标，也可凭本人有效身份证明参加询标。因授权代表联系不上</w:t>
      </w:r>
      <w:r>
        <w:rPr>
          <w:rFonts w:hint="eastAsia" w:ascii="宋体" w:hAnsi="宋体" w:eastAsia="宋体"/>
          <w:b/>
          <w:bCs/>
          <w:color w:val="auto"/>
          <w:sz w:val="24"/>
          <w:highlight w:val="none"/>
        </w:rPr>
        <w:t>、没有及时登录系统等情形</w:t>
      </w:r>
      <w:r>
        <w:rPr>
          <w:rFonts w:hint="eastAsia" w:ascii="宋体" w:hAnsi="宋体" w:eastAsia="宋体"/>
          <w:b/>
          <w:color w:val="auto"/>
          <w:sz w:val="24"/>
          <w:highlight w:val="none"/>
        </w:rPr>
        <w:t>而无法接受磋商小组询标的，供应商自行承担相关风险。</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17</w:t>
      </w:r>
      <w:r>
        <w:rPr>
          <w:rFonts w:asciiTheme="minorEastAsia" w:hAnsiTheme="minorEastAsia" w:eastAsiaTheme="minorEastAsia"/>
          <w:b/>
          <w:color w:val="auto"/>
          <w:sz w:val="24"/>
          <w:highlight w:val="none"/>
        </w:rPr>
        <w:t>.最后报价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磋商并不限定只进行二轮报价，如果磋商小组认为有必要，可以要求供应商进行多轮报价。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在磋商内容不做实质性变更或重大调整的前提下，供应商下轮报价不得高于上一轮报价</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最后报价是供应商响应文件的有效组成部分，最后报价也是签订合同的依据。</w:t>
      </w:r>
    </w:p>
    <w:p>
      <w:pPr>
        <w:spacing w:line="360" w:lineRule="auto"/>
        <w:ind w:firstLine="435"/>
        <w:rPr>
          <w:rFonts w:asciiTheme="majorEastAsia" w:hAnsiTheme="majorEastAsia" w:eastAsiaTheme="majorEastAsia"/>
          <w:color w:val="auto"/>
          <w:sz w:val="24"/>
          <w:highlight w:val="none"/>
        </w:rPr>
      </w:pPr>
      <w:bookmarkStart w:id="65" w:name="_Hlk60607655"/>
      <w:bookmarkStart w:id="66" w:name="_Hlk60607673"/>
      <w:r>
        <w:rPr>
          <w:rFonts w:hint="eastAsia" w:asciiTheme="majorEastAsia" w:hAnsiTheme="majorEastAsia" w:eastAsiaTheme="majorEastAsia"/>
          <w:color w:val="auto"/>
          <w:sz w:val="24"/>
          <w:highlight w:val="none"/>
          <w:lang w:val="en-US" w:eastAsia="zh-CN"/>
        </w:rPr>
        <w:t>17</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根据《政府采购促进中小企业发展管理办法》（财库〔</w:t>
      </w:r>
      <w:r>
        <w:rPr>
          <w:rFonts w:asciiTheme="majorEastAsia" w:hAnsiTheme="majorEastAsia" w:eastAsiaTheme="majorEastAsia"/>
          <w:color w:val="auto"/>
          <w:sz w:val="24"/>
          <w:highlight w:val="none"/>
        </w:rPr>
        <w:t>2020〕46号</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财政部 司法部关于政府采购支持监狱企业发展有关问题的通知</w:t>
      </w:r>
      <w:r>
        <w:rPr>
          <w:rFonts w:hint="eastAsia" w:asciiTheme="majorEastAsia" w:hAnsiTheme="majorEastAsia" w:eastAsiaTheme="majorEastAsia"/>
          <w:color w:val="auto"/>
          <w:sz w:val="24"/>
          <w:highlight w:val="none"/>
        </w:rPr>
        <w:t>》（财库〔2014〕68号）和《三部门联合发布关于促进残疾人就业政府采购政策的通知》（财库〔2017〕141号）的规定，对满足价格扣除条件且在响应文件中提交了</w:t>
      </w:r>
      <w:r>
        <w:rPr>
          <w:rFonts w:asciiTheme="majorEastAsia" w:hAnsiTheme="majorEastAsia" w:eastAsiaTheme="majorEastAsia"/>
          <w:color w:val="auto"/>
          <w:sz w:val="24"/>
          <w:highlight w:val="none"/>
        </w:rPr>
        <w:t>《中小企业声明函》</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《残疾人福利性单位声明函》</w:t>
      </w:r>
      <w:r>
        <w:rPr>
          <w:rFonts w:hint="eastAsia" w:asciiTheme="majorEastAsia" w:hAnsiTheme="majorEastAsia" w:eastAsiaTheme="majorEastAsia"/>
          <w:color w:val="auto"/>
          <w:sz w:val="24"/>
          <w:highlight w:val="none"/>
        </w:rPr>
        <w:t>或省级以上监狱管理局、戒毒管理局（含新疆生产建设兵团）出具的属于监狱企业的证明文件的供应商，其最后报价按照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中规定的标准扣除后的价格参与评审。对于同时属于小微企业、监狱企业或残疾人福利性单位的，不重复进行最后报价扣除。</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Theme="majorEastAsia" w:hAnsiTheme="majorEastAsia" w:eastAsiaTheme="majorEastAsia"/>
          <w:color w:val="auto"/>
          <w:sz w:val="24"/>
          <w:highlight w:val="none"/>
        </w:rPr>
        <w:t>30%以上的，可给予联合体或者大中型企业的</w:t>
      </w:r>
      <w:r>
        <w:rPr>
          <w:rFonts w:hint="eastAsia" w:asciiTheme="majorEastAsia" w:hAnsiTheme="majorEastAsia" w:eastAsiaTheme="majorEastAsia"/>
          <w:color w:val="auto"/>
          <w:sz w:val="24"/>
          <w:highlight w:val="none"/>
        </w:rPr>
        <w:t>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组成联合体或者接受分包的小微企业与联合体内其他企业、分包企业之间存在直接控股、管理关系的，不享受价格扣除优惠政策。</w:t>
      </w:r>
    </w:p>
    <w:p>
      <w:pPr>
        <w:spacing w:line="360" w:lineRule="auto"/>
        <w:ind w:firstLine="435"/>
        <w:rPr>
          <w:rFonts w:asciiTheme="minorEastAsia" w:hAnsiTheme="minorEastAsia" w:eastAsiaTheme="minorEastAsia"/>
          <w:color w:val="auto"/>
          <w:sz w:val="24"/>
          <w:highlight w:val="none"/>
        </w:rPr>
      </w:pPr>
      <w:r>
        <w:rPr>
          <w:rFonts w:hint="eastAsia" w:asciiTheme="majorEastAsia" w:hAnsiTheme="majorEastAsia" w:eastAsiaTheme="majorEastAsia"/>
          <w:color w:val="auto"/>
          <w:sz w:val="24"/>
          <w:highlight w:val="none"/>
        </w:rPr>
        <w:t>以联合体形式参加政府采购活动，联合体各方均为中小企业的，联合体视同中小企业。其中，联合体各方均为小微企业的，联合体视同小微企业。</w:t>
      </w:r>
      <w:bookmarkEnd w:id="65"/>
    </w:p>
    <w:bookmarkEnd w:id="66"/>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成交候选供应商的推荐原则及标准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磋商小组</w:t>
      </w:r>
      <w:r>
        <w:rPr>
          <w:rFonts w:asciiTheme="minorEastAsia" w:hAnsiTheme="minorEastAsia" w:eastAsiaTheme="minorEastAsia"/>
          <w:color w:val="auto"/>
          <w:sz w:val="24"/>
          <w:highlight w:val="none"/>
        </w:rPr>
        <w:t>依据本项目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文件所约定的</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方法</w:t>
      </w:r>
      <w:r>
        <w:rPr>
          <w:rFonts w:hint="eastAsia" w:asciiTheme="minorEastAsia" w:hAnsiTheme="minorEastAsia" w:eastAsiaTheme="minorEastAsia"/>
          <w:color w:val="auto"/>
          <w:sz w:val="24"/>
          <w:highlight w:val="none"/>
        </w:rPr>
        <w:t>和标准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按照有效供应商综合总得分由高到低依次推荐成交候选供应商。综合总得分出现两家或两家以上相同者，按最后报价由低到高排序推荐成交候选供应商；综合总得分且最后报价均相同的，由磋商小组按照技术指标优劣顺序推荐成交候选供应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确定成交候选供应商和成交供应商</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19</w:t>
      </w:r>
      <w:r>
        <w:rPr>
          <w:rFonts w:hint="eastAsia" w:ascii="宋体" w:hAnsi="宋体" w:eastAsia="宋体"/>
          <w:color w:val="auto"/>
          <w:sz w:val="24"/>
          <w:highlight w:val="none"/>
        </w:rPr>
        <w:t>.1磋商小组根据综合评分的结果和</w:t>
      </w:r>
      <w:r>
        <w:rPr>
          <w:rFonts w:hint="eastAsia" w:asciiTheme="minorEastAsia" w:hAnsiTheme="minorEastAsia" w:eastAsiaTheme="minorEastAsia"/>
          <w:color w:val="auto"/>
          <w:sz w:val="24"/>
          <w:highlight w:val="none"/>
          <w:u w:val="single"/>
        </w:rPr>
        <w:t>供应商</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w:t>
      </w:r>
      <w:r>
        <w:rPr>
          <w:rFonts w:hint="eastAsia" w:ascii="宋体" w:hAnsi="宋体" w:eastAsia="宋体"/>
          <w:color w:val="auto"/>
          <w:sz w:val="24"/>
          <w:highlight w:val="none"/>
        </w:rPr>
        <w:t>确定成交候选供应商，并标明排列顺序。排名第一的成交候选供应商经采购人或采购人授权的磋商小组确定为成交供应商后，由</w:t>
      </w:r>
      <w:r>
        <w:rPr>
          <w:rFonts w:asciiTheme="minorEastAsia" w:hAnsiTheme="minorEastAsia" w:eastAsiaTheme="minorEastAsia"/>
          <w:color w:val="auto"/>
          <w:sz w:val="24"/>
          <w:highlight w:val="none"/>
        </w:rPr>
        <w:t>采购代理机构</w:t>
      </w:r>
      <w:r>
        <w:rPr>
          <w:rFonts w:hint="eastAsia" w:ascii="宋体" w:hAnsi="宋体" w:eastAsia="宋体"/>
          <w:color w:val="auto"/>
          <w:sz w:val="24"/>
          <w:highlight w:val="none"/>
        </w:rPr>
        <w:t>在指定媒体上予以公告。</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20</w:t>
      </w:r>
      <w:r>
        <w:rPr>
          <w:rFonts w:asciiTheme="minorEastAsia" w:hAnsiTheme="minorEastAsia" w:eastAsiaTheme="minorEastAsia"/>
          <w:b/>
          <w:color w:val="auto"/>
          <w:sz w:val="24"/>
          <w:highlight w:val="none"/>
        </w:rPr>
        <w:t>.编写评审报告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20</w:t>
      </w:r>
      <w:r>
        <w:rPr>
          <w:rFonts w:hint="eastAsia" w:asciiTheme="minorEastAsia" w:hAnsiTheme="minorEastAsia" w:eastAsiaTheme="minorEastAsia"/>
          <w:color w:val="auto"/>
          <w:sz w:val="24"/>
          <w:highlight w:val="none"/>
        </w:rPr>
        <w:t>.1评审报告是根据全体磋商小组成员签字的原始评审记录和评审结果编写的报告，评审报告由磋商小组全体成员签字。对评审结论持有异议的磋商小组成员可以书面方式阐述其不同意见和理由。磋商小组成员拒绝在评审报告上签字且不陈述其不同意见和理由的，视为同意评审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21</w:t>
      </w:r>
      <w:r>
        <w:rPr>
          <w:rFonts w:hint="eastAsia" w:ascii="宋体" w:hAnsi="宋体" w:eastAsia="宋体"/>
          <w:color w:val="auto"/>
          <w:sz w:val="24"/>
          <w:highlight w:val="none"/>
        </w:rPr>
        <w:t>.1评审将在严格保密的情况下进行。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21</w:t>
      </w:r>
      <w:r>
        <w:rPr>
          <w:rFonts w:hint="eastAsia" w:ascii="宋体" w:hAnsi="宋体" w:eastAsia="宋体"/>
          <w:color w:val="auto"/>
          <w:sz w:val="24"/>
          <w:highlight w:val="none"/>
        </w:rPr>
        <w:t>.2有关人员</w:t>
      </w:r>
      <w:r>
        <w:rPr>
          <w:rFonts w:ascii="宋体" w:hAnsi="宋体" w:eastAsia="宋体"/>
          <w:color w:val="auto"/>
          <w:sz w:val="24"/>
          <w:highlight w:val="none"/>
        </w:rPr>
        <w:t>应当</w:t>
      </w:r>
      <w:r>
        <w:rPr>
          <w:rFonts w:hint="eastAsia" w:ascii="宋体" w:hAnsi="宋体" w:eastAsia="宋体"/>
          <w:color w:val="auto"/>
          <w:sz w:val="24"/>
          <w:highlight w:val="none"/>
        </w:rPr>
        <w:t>遵</w:t>
      </w:r>
      <w:r>
        <w:rPr>
          <w:rFonts w:ascii="宋体" w:hAnsi="宋体" w:eastAsia="宋体"/>
          <w:color w:val="auto"/>
          <w:sz w:val="24"/>
          <w:highlight w:val="none"/>
        </w:rPr>
        <w:t>守</w:t>
      </w:r>
      <w:r>
        <w:rPr>
          <w:rFonts w:hint="eastAsia" w:ascii="宋体" w:hAnsi="宋体" w:eastAsia="宋体"/>
          <w:color w:val="auto"/>
          <w:sz w:val="24"/>
          <w:highlight w:val="none"/>
        </w:rPr>
        <w:t>评审</w:t>
      </w:r>
      <w:r>
        <w:rPr>
          <w:rFonts w:ascii="宋体" w:hAnsi="宋体" w:eastAsia="宋体"/>
          <w:color w:val="auto"/>
          <w:sz w:val="24"/>
          <w:highlight w:val="none"/>
        </w:rPr>
        <w:t>工作纪律，不得</w:t>
      </w:r>
      <w:r>
        <w:rPr>
          <w:rFonts w:hint="eastAsia" w:ascii="宋体" w:hAnsi="宋体" w:eastAsia="宋体"/>
          <w:color w:val="auto"/>
          <w:sz w:val="24"/>
          <w:highlight w:val="none"/>
        </w:rPr>
        <w:t>泄露评审文件</w:t>
      </w:r>
      <w:r>
        <w:rPr>
          <w:rFonts w:ascii="宋体" w:hAnsi="宋体" w:eastAsia="宋体"/>
          <w:color w:val="auto"/>
          <w:sz w:val="24"/>
          <w:highlight w:val="none"/>
        </w:rPr>
        <w:t>、</w:t>
      </w:r>
      <w:r>
        <w:rPr>
          <w:rFonts w:hint="eastAsia" w:ascii="宋体" w:hAnsi="宋体" w:eastAsia="宋体"/>
          <w:color w:val="auto"/>
          <w:sz w:val="24"/>
          <w:highlight w:val="none"/>
        </w:rPr>
        <w:t>评审</w:t>
      </w:r>
      <w:r>
        <w:rPr>
          <w:rFonts w:ascii="宋体" w:hAnsi="宋体" w:eastAsia="宋体"/>
          <w:color w:val="auto"/>
          <w:sz w:val="24"/>
          <w:highlight w:val="none"/>
        </w:rPr>
        <w:t>情况和</w:t>
      </w:r>
      <w:r>
        <w:rPr>
          <w:rFonts w:hint="eastAsia" w:ascii="宋体" w:hAnsi="宋体" w:eastAsia="宋体"/>
          <w:color w:val="auto"/>
          <w:sz w:val="24"/>
          <w:highlight w:val="none"/>
        </w:rPr>
        <w:t>评审</w:t>
      </w:r>
      <w:r>
        <w:rPr>
          <w:rFonts w:ascii="宋体" w:hAnsi="宋体" w:eastAsia="宋体"/>
          <w:color w:val="auto"/>
          <w:sz w:val="24"/>
          <w:highlight w:val="none"/>
        </w:rPr>
        <w:t>中获悉的</w:t>
      </w:r>
      <w:r>
        <w:rPr>
          <w:rFonts w:hint="eastAsia" w:ascii="宋体" w:hAnsi="宋体" w:eastAsia="宋体"/>
          <w:color w:val="auto"/>
          <w:sz w:val="24"/>
          <w:highlight w:val="none"/>
        </w:rPr>
        <w:t>国家秘密、</w:t>
      </w:r>
      <w:r>
        <w:rPr>
          <w:rFonts w:ascii="宋体" w:hAnsi="宋体" w:eastAsia="宋体"/>
          <w:color w:val="auto"/>
          <w:sz w:val="24"/>
          <w:highlight w:val="none"/>
        </w:rPr>
        <w:t>商业秘密。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22</w:t>
      </w:r>
      <w:r>
        <w:rPr>
          <w:rFonts w:asciiTheme="minorEastAsia" w:hAnsiTheme="minorEastAsia" w:eastAsiaTheme="minorEastAsia"/>
          <w:b/>
          <w:color w:val="auto"/>
          <w:sz w:val="24"/>
          <w:highlight w:val="none"/>
        </w:rPr>
        <w:t>.成交结果公告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22</w:t>
      </w:r>
      <w:r>
        <w:rPr>
          <w:rFonts w:asciiTheme="minorEastAsia" w:hAnsiTheme="minorEastAsia" w:eastAsiaTheme="minorEastAsia"/>
          <w:color w:val="auto"/>
          <w:sz w:val="24"/>
          <w:highlight w:val="none"/>
        </w:rPr>
        <w:t>.1为体现“公开、公平、公正”的原则，磋商结束后，</w:t>
      </w:r>
      <w:r>
        <w:rPr>
          <w:rFonts w:hint="eastAsia" w:ascii="宋体" w:hAnsi="宋体" w:eastAsia="宋体"/>
          <w:color w:val="auto"/>
          <w:sz w:val="24"/>
          <w:szCs w:val="18"/>
          <w:highlight w:val="none"/>
        </w:rPr>
        <w:t>采购代理机构将在安徽省政府采购网（www.ccgp-anhui.gov.cn）</w:t>
      </w:r>
      <w:r>
        <w:rPr>
          <w:rFonts w:asciiTheme="minorEastAsia" w:hAnsiTheme="minorEastAsia" w:eastAsiaTheme="minorEastAsia"/>
          <w:color w:val="auto"/>
          <w:sz w:val="24"/>
          <w:highlight w:val="none"/>
        </w:rPr>
        <w:t>上发布成交结果公告。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22</w:t>
      </w:r>
      <w:r>
        <w:rPr>
          <w:rFonts w:asciiTheme="minorEastAsia" w:hAnsiTheme="minorEastAsia" w:eastAsiaTheme="minorEastAsia"/>
          <w:color w:val="auto"/>
          <w:sz w:val="24"/>
          <w:highlight w:val="none"/>
        </w:rPr>
        <w:t>.2成交结果公告内容应当包括采购人及其委托的采购代理机构的名称、地址、联系方式，项目名称和项目编号，成交供应商名称、地址和成交金额，主要成交标的的名称、规格型号、数量、单价、服务要求，成交结果公告期限、评审专家名单以及</w:t>
      </w:r>
      <w:r>
        <w:rPr>
          <w:rFonts w:hint="eastAsia"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中约定进行公告的内容。</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23</w:t>
      </w:r>
      <w:r>
        <w:rPr>
          <w:rFonts w:ascii="宋体" w:hAnsi="宋体" w:eastAsia="宋体"/>
          <w:b/>
          <w:color w:val="auto"/>
          <w:sz w:val="24"/>
          <w:highlight w:val="none"/>
        </w:rPr>
        <w:t>.成交</w:t>
      </w:r>
      <w:r>
        <w:rPr>
          <w:rFonts w:asciiTheme="minorEastAsia" w:hAnsiTheme="minorEastAsia" w:eastAsiaTheme="minorEastAsia"/>
          <w:b/>
          <w:color w:val="auto"/>
          <w:sz w:val="24"/>
          <w:highlight w:val="none"/>
        </w:rPr>
        <w:t>通知书</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23</w:t>
      </w:r>
      <w:r>
        <w:rPr>
          <w:rFonts w:ascii="宋体" w:hAnsi="宋体" w:eastAsia="宋体"/>
          <w:color w:val="auto"/>
          <w:sz w:val="24"/>
          <w:highlight w:val="none"/>
        </w:rPr>
        <w:t>.1采购代理机构发布成交结果公告的同时</w:t>
      </w:r>
      <w:r>
        <w:rPr>
          <w:rFonts w:asciiTheme="minorEastAsia" w:hAnsiTheme="minorEastAsia" w:eastAsiaTheme="minorEastAsia"/>
          <w:color w:val="auto"/>
          <w:sz w:val="24"/>
          <w:highlight w:val="none"/>
        </w:rPr>
        <w:t>以</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rFonts w:ascii="宋体" w:hAnsi="宋体" w:eastAsia="宋体"/>
          <w:color w:val="auto"/>
          <w:sz w:val="24"/>
          <w:highlight w:val="none"/>
        </w:rPr>
        <w:t>向成交供应商发出成交通知书。</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23</w:t>
      </w:r>
      <w:r>
        <w:rPr>
          <w:rFonts w:ascii="宋体" w:hAnsi="宋体" w:eastAsia="宋体"/>
          <w:color w:val="auto"/>
          <w:sz w:val="24"/>
          <w:highlight w:val="none"/>
        </w:rPr>
        <w:t>.2成交通知书对采购人和成交供应商具有同等法律效力。成交通知书发出以后，采购人改变成交结果或者成交供应商放弃成交资格，应当承担相应的法律责任。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23</w:t>
      </w:r>
      <w:r>
        <w:rPr>
          <w:rFonts w:ascii="宋体" w:hAnsi="宋体" w:eastAsia="宋体"/>
          <w:color w:val="auto"/>
          <w:sz w:val="24"/>
          <w:highlight w:val="none"/>
        </w:rPr>
        <w:t>.3成交通知书是合同的组成部分。</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24</w:t>
      </w:r>
      <w:r>
        <w:rPr>
          <w:rFonts w:ascii="宋体" w:hAnsi="宋体" w:eastAsia="宋体"/>
          <w:b/>
          <w:color w:val="auto"/>
          <w:sz w:val="24"/>
          <w:highlight w:val="none"/>
        </w:rPr>
        <w:t>.告知</w:t>
      </w:r>
      <w:r>
        <w:rPr>
          <w:rFonts w:hint="eastAsia" w:ascii="宋体" w:hAnsi="宋体" w:eastAsia="宋体"/>
          <w:b/>
          <w:color w:val="auto"/>
          <w:sz w:val="24"/>
          <w:highlight w:val="none"/>
        </w:rPr>
        <w:t>磋商</w:t>
      </w:r>
      <w:r>
        <w:rPr>
          <w:rFonts w:ascii="宋体" w:hAnsi="宋体" w:eastAsia="宋体"/>
          <w:b/>
          <w:color w:val="auto"/>
          <w:sz w:val="24"/>
          <w:highlight w:val="none"/>
        </w:rPr>
        <w:t>结果</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24</w:t>
      </w:r>
      <w:r>
        <w:rPr>
          <w:rFonts w:ascii="宋体" w:hAnsi="宋体" w:eastAsia="宋体"/>
          <w:color w:val="auto"/>
          <w:sz w:val="24"/>
          <w:highlight w:val="none"/>
        </w:rPr>
        <w:t>.1在公告</w:t>
      </w:r>
      <w:r>
        <w:rPr>
          <w:rFonts w:hint="eastAsia" w:ascii="宋体" w:hAnsi="宋体" w:eastAsia="宋体"/>
          <w:color w:val="auto"/>
          <w:sz w:val="24"/>
          <w:highlight w:val="none"/>
        </w:rPr>
        <w:t>成交</w:t>
      </w:r>
      <w:r>
        <w:rPr>
          <w:rFonts w:ascii="宋体" w:hAnsi="宋体" w:eastAsia="宋体"/>
          <w:color w:val="auto"/>
          <w:sz w:val="24"/>
          <w:highlight w:val="none"/>
        </w:rPr>
        <w:t>结果的同时，采购代理机构同时以</w:t>
      </w:r>
      <w:r>
        <w:rPr>
          <w:rFonts w:hint="eastAsia" w:ascii="宋体" w:hAnsi="宋体" w:eastAsia="宋体"/>
          <w:color w:val="auto"/>
          <w:sz w:val="24"/>
          <w:highlight w:val="none"/>
          <w:u w:val="single"/>
        </w:rPr>
        <w:t>供应商</w:t>
      </w:r>
      <w:r>
        <w:rPr>
          <w:rFonts w:ascii="宋体" w:hAnsi="宋体" w:eastAsia="宋体"/>
          <w:color w:val="auto"/>
          <w:sz w:val="24"/>
          <w:highlight w:val="none"/>
          <w:u w:val="single"/>
        </w:rPr>
        <w:t>须知前附表</w:t>
      </w:r>
      <w:r>
        <w:rPr>
          <w:rFonts w:ascii="宋体" w:hAnsi="宋体" w:eastAsia="宋体"/>
          <w:color w:val="auto"/>
          <w:sz w:val="24"/>
          <w:highlight w:val="none"/>
        </w:rPr>
        <w:t>规定的形式告知未</w:t>
      </w:r>
      <w:r>
        <w:rPr>
          <w:rFonts w:hint="eastAsia" w:ascii="宋体" w:hAnsi="宋体" w:eastAsia="宋体"/>
          <w:color w:val="auto"/>
          <w:sz w:val="24"/>
          <w:highlight w:val="none"/>
        </w:rPr>
        <w:t>成交供应商</w:t>
      </w:r>
      <w:r>
        <w:rPr>
          <w:rFonts w:ascii="宋体" w:hAnsi="宋体" w:eastAsia="宋体"/>
          <w:color w:val="auto"/>
          <w:sz w:val="24"/>
          <w:highlight w:val="none"/>
        </w:rPr>
        <w:t>本人的评审得分和排序。</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lang w:val="en-US" w:eastAsia="zh-CN"/>
        </w:rPr>
        <w:t>24</w:t>
      </w:r>
      <w:r>
        <w:rPr>
          <w:rFonts w:ascii="宋体" w:hAnsi="宋体" w:eastAsia="宋体"/>
          <w:color w:val="auto"/>
          <w:sz w:val="24"/>
          <w:highlight w:val="none"/>
        </w:rPr>
        <w:t>.</w:t>
      </w:r>
      <w:r>
        <w:rPr>
          <w:rFonts w:hint="eastAsia" w:ascii="宋体" w:hAnsi="宋体" w:eastAsia="宋体"/>
          <w:color w:val="auto"/>
          <w:sz w:val="24"/>
          <w:highlight w:val="none"/>
        </w:rPr>
        <w:t>2</w:t>
      </w:r>
      <w:r>
        <w:rPr>
          <w:rFonts w:ascii="宋体" w:hAnsi="宋体" w:eastAsia="宋体"/>
          <w:color w:val="auto"/>
          <w:sz w:val="24"/>
          <w:highlight w:val="none"/>
        </w:rPr>
        <w:t>采购代理机构对未成交的供应商不做未成交原因的解释。</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25</w:t>
      </w:r>
      <w:r>
        <w:rPr>
          <w:rFonts w:ascii="宋体" w:hAnsi="宋体" w:eastAsia="宋体"/>
          <w:b/>
          <w:color w:val="auto"/>
          <w:sz w:val="24"/>
          <w:highlight w:val="none"/>
        </w:rPr>
        <w:t>.履约保证金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25</w:t>
      </w:r>
      <w:r>
        <w:rPr>
          <w:rFonts w:ascii="宋体" w:hAnsi="宋体" w:eastAsia="宋体"/>
          <w:color w:val="auto"/>
          <w:sz w:val="24"/>
          <w:highlight w:val="none"/>
        </w:rPr>
        <w:t>.1成交供应商应按照</w:t>
      </w:r>
      <w:r>
        <w:rPr>
          <w:rFonts w:ascii="宋体" w:hAnsi="宋体" w:eastAsia="宋体"/>
          <w:color w:val="auto"/>
          <w:sz w:val="24"/>
          <w:highlight w:val="none"/>
          <w:u w:val="single"/>
        </w:rPr>
        <w:t>供应商须知前附表</w:t>
      </w:r>
      <w:r>
        <w:rPr>
          <w:rFonts w:ascii="宋体" w:hAnsi="宋体" w:eastAsia="宋体"/>
          <w:color w:val="auto"/>
          <w:sz w:val="24"/>
          <w:highlight w:val="none"/>
        </w:rPr>
        <w:t>规定</w:t>
      </w:r>
      <w:r>
        <w:rPr>
          <w:rFonts w:hint="eastAsia" w:ascii="宋体" w:hAnsi="宋体" w:eastAsia="宋体"/>
          <w:color w:val="auto"/>
          <w:sz w:val="24"/>
          <w:highlight w:val="none"/>
        </w:rPr>
        <w:t>缴纳</w:t>
      </w:r>
      <w:r>
        <w:rPr>
          <w:rFonts w:ascii="宋体" w:hAnsi="宋体" w:eastAsia="宋体"/>
          <w:color w:val="auto"/>
          <w:sz w:val="24"/>
          <w:highlight w:val="none"/>
        </w:rPr>
        <w:t>履约保证金。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25</w:t>
      </w:r>
      <w:r>
        <w:rPr>
          <w:rFonts w:ascii="宋体" w:hAnsi="宋体" w:eastAsia="宋体"/>
          <w:color w:val="auto"/>
          <w:sz w:val="24"/>
          <w:highlight w:val="none"/>
        </w:rPr>
        <w:t>.2如果成交供应商没有按照上述履约保证金的规定执行，将视为放弃成交资格。在此情况下，采购人可确定下一成交候选供应商为成交供应商，也可以重新开展采购活动。</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26</w:t>
      </w:r>
      <w:r>
        <w:rPr>
          <w:rFonts w:ascii="宋体" w:hAnsi="宋体" w:eastAsia="宋体"/>
          <w:b/>
          <w:color w:val="auto"/>
          <w:sz w:val="24"/>
          <w:highlight w:val="none"/>
        </w:rPr>
        <w:t>.</w:t>
      </w:r>
      <w:r>
        <w:rPr>
          <w:rFonts w:hint="eastAsia" w:ascii="宋体" w:hAnsi="宋体" w:eastAsia="宋体"/>
          <w:b/>
          <w:color w:val="auto"/>
          <w:sz w:val="24"/>
          <w:highlight w:val="none"/>
          <w:lang w:val="en-US" w:eastAsia="zh-CN"/>
        </w:rPr>
        <w:t>代理费用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26</w:t>
      </w:r>
      <w:r>
        <w:rPr>
          <w:rFonts w:ascii="宋体" w:hAnsi="宋体" w:eastAsia="宋体"/>
          <w:color w:val="auto"/>
          <w:sz w:val="24"/>
          <w:highlight w:val="none"/>
        </w:rPr>
        <w:t>.1本项目</w:t>
      </w:r>
      <w:r>
        <w:rPr>
          <w:rFonts w:hint="eastAsia" w:ascii="宋体" w:hAnsi="宋体" w:eastAsia="宋体"/>
          <w:color w:val="auto"/>
          <w:sz w:val="24"/>
          <w:highlight w:val="none"/>
          <w:lang w:val="en-US" w:eastAsia="zh-CN"/>
        </w:rPr>
        <w:t>代理费用</w:t>
      </w:r>
      <w:r>
        <w:rPr>
          <w:rFonts w:ascii="宋体" w:hAnsi="宋体" w:eastAsia="宋体"/>
          <w:color w:val="auto"/>
          <w:sz w:val="24"/>
          <w:highlight w:val="none"/>
        </w:rPr>
        <w:t>的收取按</w:t>
      </w:r>
      <w:r>
        <w:rPr>
          <w:rFonts w:hint="eastAsia" w:ascii="宋体" w:hAnsi="宋体" w:eastAsia="宋体"/>
          <w:color w:val="auto"/>
          <w:sz w:val="24"/>
          <w:highlight w:val="none"/>
          <w:u w:val="single"/>
        </w:rPr>
        <w:t>供应商</w:t>
      </w:r>
      <w:r>
        <w:rPr>
          <w:rFonts w:ascii="宋体" w:hAnsi="宋体" w:eastAsia="宋体"/>
          <w:color w:val="auto"/>
          <w:sz w:val="24"/>
          <w:highlight w:val="none"/>
          <w:u w:val="single"/>
        </w:rPr>
        <w:t>须知前附表</w:t>
      </w:r>
      <w:r>
        <w:rPr>
          <w:rFonts w:ascii="宋体" w:hAnsi="宋体" w:eastAsia="宋体"/>
          <w:color w:val="auto"/>
          <w:sz w:val="24"/>
          <w:highlight w:val="none"/>
        </w:rPr>
        <w:t>的规定执行。</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27</w:t>
      </w:r>
      <w:r>
        <w:rPr>
          <w:rFonts w:ascii="宋体" w:hAnsi="宋体" w:eastAsia="宋体"/>
          <w:b/>
          <w:color w:val="auto"/>
          <w:sz w:val="24"/>
          <w:highlight w:val="none"/>
        </w:rPr>
        <w:t>.签订</w:t>
      </w:r>
      <w:r>
        <w:rPr>
          <w:rFonts w:asciiTheme="minorEastAsia" w:hAnsiTheme="minorEastAsia" w:eastAsiaTheme="minorEastAsia"/>
          <w:b/>
          <w:color w:val="auto"/>
          <w:sz w:val="24"/>
          <w:highlight w:val="none"/>
        </w:rPr>
        <w:t>合同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.2磋商文件、成交供应商的响应文件及其澄清文件等，均为签订合同的依据。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.3成交供应商拒绝与采购人签订合同的，采购人可以按照评审报告推荐的成交候选供应商名单排序，确定下一成交候选供应商为成交供应商，也可以重新开展采购活动。</w:t>
      </w:r>
      <w:r>
        <w:rPr>
          <w:rFonts w:hint="eastAsia" w:ascii="宋体" w:hAnsi="宋体" w:eastAsia="宋体"/>
          <w:color w:val="auto"/>
          <w:sz w:val="24"/>
          <w:highlight w:val="none"/>
        </w:rPr>
        <w:t>成交供应商拒绝签订政府采购合同的不得参加对该项目重新开展的采购活动。</w:t>
      </w:r>
    </w:p>
    <w:p>
      <w:pPr>
        <w:spacing w:line="360" w:lineRule="auto"/>
        <w:ind w:firstLine="470" w:firstLineChars="196"/>
        <w:rPr>
          <w:rFonts w:ascii="宋体" w:hAnsi="宋体" w:eastAsia="宋体"/>
          <w:color w:val="auto"/>
          <w:sz w:val="24"/>
          <w:highlight w:val="none"/>
        </w:rPr>
      </w:pPr>
      <w:bookmarkStart w:id="67" w:name="_Hlk60264926"/>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w:t>
      </w:r>
      <w:r>
        <w:rPr>
          <w:rFonts w:ascii="宋体" w:hAnsi="宋体" w:eastAsia="宋体"/>
          <w:color w:val="auto"/>
          <w:sz w:val="24"/>
          <w:highlight w:val="none"/>
        </w:rPr>
        <w:t>4</w:t>
      </w:r>
      <w:r>
        <w:rPr>
          <w:rFonts w:hint="eastAsia" w:ascii="宋体" w:hAnsi="宋体" w:eastAsia="宋体"/>
          <w:color w:val="auto"/>
          <w:sz w:val="24"/>
          <w:highlight w:val="none"/>
        </w:rPr>
        <w:t>依据《政府采购促进中小企业发展管理办法》（财库〔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）规定享受扶持政策获得政府采购合同的，小微企业不得将合同分包给大中型企业，中型企业不得将合同分包给大型企业。</w:t>
      </w:r>
      <w:bookmarkEnd w:id="67"/>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28</w:t>
      </w:r>
      <w:r>
        <w:rPr>
          <w:rFonts w:ascii="宋体" w:hAnsi="宋体" w:eastAsia="宋体"/>
          <w:b/>
          <w:color w:val="auto"/>
          <w:sz w:val="24"/>
          <w:highlight w:val="none"/>
        </w:rPr>
        <w:t>.廉洁</w:t>
      </w:r>
      <w:r>
        <w:rPr>
          <w:rFonts w:asciiTheme="minorEastAsia" w:hAnsiTheme="minorEastAsia" w:eastAsiaTheme="minorEastAsia"/>
          <w:b/>
          <w:color w:val="auto"/>
          <w:sz w:val="24"/>
          <w:highlight w:val="none"/>
        </w:rPr>
        <w:t>自律</w:t>
      </w:r>
      <w:r>
        <w:rPr>
          <w:rFonts w:ascii="宋体" w:hAnsi="宋体" w:eastAsia="宋体"/>
          <w:b/>
          <w:color w:val="auto"/>
          <w:sz w:val="24"/>
          <w:highlight w:val="none"/>
        </w:rPr>
        <w:t>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.1采购代理机构工作人员不得以不正当手段获取政府采购代理业务，不得与采购人、供应商恶意串通。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.2采购代理机构工作人员不得接受采购人或者供应商组织的宴请、旅游、娱乐，不得收受礼品、现金、有价证券等，不得向采购人或者供应商报销应当由个人承担的费用。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29</w:t>
      </w:r>
      <w:r>
        <w:rPr>
          <w:rFonts w:ascii="宋体" w:hAnsi="宋体" w:eastAsia="宋体"/>
          <w:b/>
          <w:color w:val="auto"/>
          <w:sz w:val="24"/>
          <w:highlight w:val="none"/>
        </w:rPr>
        <w:t>.质疑的</w:t>
      </w:r>
      <w:r>
        <w:rPr>
          <w:rFonts w:asciiTheme="minorEastAsia" w:hAnsiTheme="minorEastAsia" w:eastAsiaTheme="minorEastAsia"/>
          <w:b/>
          <w:color w:val="auto"/>
          <w:sz w:val="24"/>
          <w:highlight w:val="none"/>
        </w:rPr>
        <w:t>提出</w:t>
      </w:r>
      <w:r>
        <w:rPr>
          <w:rFonts w:ascii="宋体" w:hAnsi="宋体" w:eastAsia="宋体"/>
          <w:b/>
          <w:color w:val="auto"/>
          <w:sz w:val="24"/>
          <w:highlight w:val="none"/>
        </w:rPr>
        <w:t>与接收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.1供应商认为磋商文件、采购过程和成交结果使自己的权益受到损害的，可以在知道或者应知其权益受到损害之日起七个工作日内，以书面形式向采购人或其委托的采购代理机构提出质疑。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质疑供应商应按照财政部制定的《政府采购质疑函范本》格式（详见磋商文件）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3</w:t>
      </w:r>
      <w:r>
        <w:rPr>
          <w:rFonts w:hint="eastAsia" w:ascii="宋体" w:hAnsi="宋体" w:eastAsia="宋体"/>
          <w:color w:val="auto"/>
          <w:sz w:val="24"/>
          <w:highlight w:val="none"/>
        </w:rPr>
        <w:t>采购代理机构质疑函接收部门、联系电话和通讯地址，见</w:t>
      </w:r>
      <w:r>
        <w:rPr>
          <w:rFonts w:hint="eastAsia" w:ascii="宋体" w:hAnsi="宋体" w:eastAsia="宋体"/>
          <w:color w:val="auto"/>
          <w:sz w:val="24"/>
          <w:highlight w:val="none"/>
          <w:u w:val="single"/>
        </w:rPr>
        <w:t>供应商须知前附表</w:t>
      </w:r>
      <w:r>
        <w:rPr>
          <w:rFonts w:hint="eastAsia" w:ascii="宋体" w:hAnsi="宋体" w:eastAsia="宋体"/>
          <w:color w:val="auto"/>
          <w:sz w:val="24"/>
          <w:highlight w:val="none"/>
        </w:rPr>
        <w:t>。</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30</w:t>
      </w:r>
      <w:r>
        <w:rPr>
          <w:rFonts w:ascii="宋体" w:hAnsi="宋体" w:eastAsia="宋体"/>
          <w:b/>
          <w:color w:val="auto"/>
          <w:sz w:val="24"/>
          <w:highlight w:val="none"/>
        </w:rPr>
        <w:t>.需要</w:t>
      </w:r>
      <w:r>
        <w:rPr>
          <w:rFonts w:asciiTheme="minorEastAsia" w:hAnsiTheme="minorEastAsia" w:eastAsiaTheme="minorEastAsia"/>
          <w:b/>
          <w:color w:val="auto"/>
          <w:sz w:val="24"/>
          <w:highlight w:val="none"/>
        </w:rPr>
        <w:t>补充</w:t>
      </w:r>
      <w:r>
        <w:rPr>
          <w:rFonts w:ascii="宋体" w:hAnsi="宋体" w:eastAsia="宋体"/>
          <w:b/>
          <w:color w:val="auto"/>
          <w:sz w:val="24"/>
          <w:highlight w:val="none"/>
        </w:rPr>
        <w:t>的其他内容</w:t>
      </w:r>
    </w:p>
    <w:p>
      <w:pPr>
        <w:spacing w:line="360" w:lineRule="auto"/>
        <w:ind w:firstLine="437"/>
        <w:outlineLvl w:val="2"/>
        <w:rPr>
          <w:rFonts w:asciiTheme="minorEastAsia" w:hAnsiTheme="minorEastAsia" w:eastAsiaTheme="minorEastAsia"/>
          <w:b/>
          <w:color w:val="auto"/>
          <w:sz w:val="28"/>
          <w:highlight w:val="none"/>
        </w:rPr>
      </w:pPr>
      <w:r>
        <w:rPr>
          <w:rFonts w:hint="eastAsia" w:ascii="宋体" w:hAnsi="宋体" w:eastAsia="宋体"/>
          <w:color w:val="auto"/>
          <w:sz w:val="24"/>
          <w:highlight w:val="none"/>
        </w:rPr>
        <w:t>需要补充的其他内容，见</w:t>
      </w:r>
      <w:r>
        <w:rPr>
          <w:rFonts w:hint="eastAsia" w:ascii="宋体" w:hAnsi="宋体" w:eastAsia="宋体"/>
          <w:color w:val="auto"/>
          <w:sz w:val="24"/>
          <w:highlight w:val="none"/>
          <w:u w:val="single"/>
        </w:rPr>
        <w:t>供应商须知前附表</w:t>
      </w:r>
      <w:r>
        <w:rPr>
          <w:rFonts w:hint="eastAsia" w:ascii="宋体" w:hAnsi="宋体" w:eastAsia="宋体"/>
          <w:color w:val="auto"/>
          <w:sz w:val="24"/>
          <w:highlight w:val="none"/>
        </w:rPr>
        <w:t>。</w:t>
      </w: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68" w:name="_Toc19440"/>
      <w:r>
        <w:rPr>
          <w:rFonts w:hint="eastAsia" w:asciiTheme="minorEastAsia" w:hAnsiTheme="minorEastAsia" w:eastAsiaTheme="minorEastAsia"/>
          <w:b/>
          <w:color w:val="auto"/>
          <w:sz w:val="28"/>
          <w:highlight w:val="none"/>
        </w:rPr>
        <w:t>第三章  采购需求</w:t>
      </w:r>
      <w:bookmarkEnd w:id="68"/>
    </w:p>
    <w:p>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本采购需求中提出的服务方案仅为参考，如无明确限制，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可以进行优化，提供满足采购人实际需要的更优（或者性能实质上不低于的）服务方案，且此方案须经</w:t>
      </w:r>
      <w:r>
        <w:rPr>
          <w:rFonts w:hint="eastAsia" w:ascii="宋体" w:hAnsi="宋体" w:eastAsia="宋体" w:cs="宋体"/>
          <w:color w:val="auto"/>
          <w:sz w:val="24"/>
          <w:szCs w:val="24"/>
          <w:highlight w:val="none"/>
          <w:lang w:eastAsia="zh-CN"/>
        </w:rPr>
        <w:t>磋商小组</w:t>
      </w:r>
      <w:r>
        <w:rPr>
          <w:rFonts w:hint="eastAsia" w:ascii="宋体" w:hAnsi="宋体" w:eastAsia="宋体" w:cs="宋体"/>
          <w:color w:val="auto"/>
          <w:sz w:val="24"/>
          <w:szCs w:val="24"/>
          <w:highlight w:val="none"/>
        </w:rPr>
        <w:t>评审认可。</w:t>
      </w:r>
    </w:p>
    <w:p>
      <w:pPr>
        <w:spacing w:line="360" w:lineRule="auto"/>
        <w:ind w:firstLine="435"/>
        <w:rPr>
          <w:rFonts w:hint="eastAsia" w:ascii="宋体" w:hAnsi="宋体" w:eastAsia="宋体"/>
          <w:color w:val="auto"/>
          <w:sz w:val="24"/>
          <w:szCs w:val="18"/>
        </w:rPr>
      </w:pPr>
      <w:r>
        <w:rPr>
          <w:rFonts w:hint="eastAsia" w:ascii="宋体" w:hAnsi="宋体" w:eastAsia="宋体"/>
          <w:color w:val="auto"/>
          <w:sz w:val="24"/>
          <w:szCs w:val="18"/>
        </w:rPr>
        <w:t>2.下列采购需求中</w:t>
      </w:r>
      <w:r>
        <w:rPr>
          <w:rFonts w:ascii="宋体" w:hAnsi="宋体" w:eastAsia="宋体" w:cs="宋体"/>
          <w:sz w:val="24"/>
          <w:szCs w:val="24"/>
          <w:highlight w:val="none"/>
        </w:rPr>
        <w:t>（包括但不限于下列具体政策要求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olor w:val="auto"/>
          <w:sz w:val="24"/>
          <w:szCs w:val="18"/>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所投产品须具有市场监管总局公布的《参与实施政府采购节能产品认证机构目录》中的认证机构出具的、处于有效期内的节能产品认证证书。</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应当执行《关于印发〈商品包装政府采购需求标准（试行）〉、〈快递包装政府采购需求标准（试行）〉的通知》（财办库〔2020〕123 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olor w:val="auto"/>
          <w:sz w:val="24"/>
          <w:szCs w:val="18"/>
        </w:rPr>
        <w:t>3.如采购人允许采用分包方式履行合同的，应当明确可以分包履行的相关内容。</w:t>
      </w:r>
    </w:p>
    <w:p>
      <w:pPr>
        <w:spacing w:line="360" w:lineRule="auto"/>
        <w:ind w:firstLine="437"/>
        <w:outlineLvl w:val="1"/>
        <w:rPr>
          <w:rFonts w:ascii="宋体" w:hAnsi="宋体" w:eastAsia="宋体"/>
          <w:b/>
          <w:color w:val="auto"/>
          <w:sz w:val="24"/>
          <w:szCs w:val="18"/>
          <w:highlight w:val="none"/>
        </w:rPr>
      </w:pPr>
      <w:bookmarkStart w:id="69" w:name="_Toc7699"/>
      <w:bookmarkStart w:id="70" w:name="_Toc26349"/>
      <w:r>
        <w:rPr>
          <w:rFonts w:hint="eastAsia" w:ascii="宋体" w:hAnsi="宋体" w:eastAsia="宋体"/>
          <w:b/>
          <w:color w:val="auto"/>
          <w:sz w:val="24"/>
          <w:szCs w:val="18"/>
          <w:highlight w:val="none"/>
        </w:rPr>
        <w:t>一、采购需求前附表</w:t>
      </w:r>
      <w:bookmarkEnd w:id="69"/>
      <w:bookmarkEnd w:id="70"/>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3"/>
        <w:gridCol w:w="2229"/>
        <w:gridCol w:w="6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8"/>
              <w:pBdr>
                <w:bottom w:val="none" w:color="auto" w:sz="0" w:space="0"/>
              </w:pBdr>
              <w:tabs>
                <w:tab w:val="clear" w:pos="4153"/>
                <w:tab w:val="clear" w:pos="8306"/>
              </w:tabs>
              <w:adjustRightInd/>
              <w:spacing w:line="240" w:lineRule="auto"/>
              <w:textAlignment w:val="auto"/>
              <w:rPr>
                <w:rFonts w:ascii="宋体" w:hAnsi="宋体" w:eastAsia="宋体"/>
                <w:b/>
                <w:color w:val="auto"/>
                <w:kern w:val="2"/>
                <w:highlight w:val="none"/>
              </w:rPr>
            </w:pPr>
            <w:bookmarkStart w:id="71" w:name="_Hlk16461016"/>
            <w:r>
              <w:rPr>
                <w:rFonts w:hint="eastAsia" w:ascii="宋体" w:hAnsi="宋体" w:eastAsia="宋体"/>
                <w:b/>
                <w:color w:val="auto"/>
                <w:kern w:val="2"/>
                <w:highlight w:val="none"/>
              </w:rPr>
              <w:t>序号</w:t>
            </w:r>
          </w:p>
        </w:tc>
        <w:tc>
          <w:tcPr>
            <w:tcW w:w="1192" w:type="pct"/>
            <w:vAlign w:val="center"/>
          </w:tcPr>
          <w:p>
            <w:pPr>
              <w:pStyle w:val="37"/>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条款名称</w:t>
            </w:r>
          </w:p>
        </w:tc>
        <w:tc>
          <w:tcPr>
            <w:tcW w:w="3216" w:type="pct"/>
            <w:vAlign w:val="center"/>
          </w:tcPr>
          <w:p>
            <w:pPr>
              <w:pStyle w:val="37"/>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8"/>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p>
        </w:tc>
        <w:tc>
          <w:tcPr>
            <w:tcW w:w="1192" w:type="pct"/>
            <w:vAlign w:val="center"/>
          </w:tcPr>
          <w:p>
            <w:pPr>
              <w:pStyle w:val="37"/>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付款方式</w:t>
            </w:r>
          </w:p>
        </w:tc>
        <w:tc>
          <w:tcPr>
            <w:tcW w:w="3216"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8"/>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p>
        </w:tc>
        <w:tc>
          <w:tcPr>
            <w:tcW w:w="1192" w:type="pct"/>
            <w:vAlign w:val="center"/>
          </w:tcPr>
          <w:p>
            <w:pPr>
              <w:pStyle w:val="37"/>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服务地点</w:t>
            </w:r>
          </w:p>
        </w:tc>
        <w:tc>
          <w:tcPr>
            <w:tcW w:w="3216"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8"/>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3</w:t>
            </w:r>
          </w:p>
        </w:tc>
        <w:tc>
          <w:tcPr>
            <w:tcW w:w="1192" w:type="pct"/>
            <w:vAlign w:val="center"/>
          </w:tcPr>
          <w:p>
            <w:pPr>
              <w:pStyle w:val="37"/>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服务期限</w:t>
            </w:r>
          </w:p>
        </w:tc>
        <w:tc>
          <w:tcPr>
            <w:tcW w:w="3216"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8"/>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eastAsia="zh-CN"/>
              </w:rPr>
            </w:pPr>
            <w:r>
              <w:rPr>
                <w:rFonts w:hint="eastAsia" w:ascii="宋体" w:hAnsi="宋体" w:eastAsia="宋体"/>
                <w:bCs/>
                <w:color w:val="auto"/>
                <w:kern w:val="2"/>
                <w:highlight w:val="none"/>
                <w:lang w:val="en-US" w:eastAsia="zh-CN"/>
              </w:rPr>
              <w:t>4</w:t>
            </w:r>
          </w:p>
        </w:tc>
        <w:tc>
          <w:tcPr>
            <w:tcW w:w="1192" w:type="pct"/>
            <w:vAlign w:val="center"/>
          </w:tcPr>
          <w:p>
            <w:pPr>
              <w:pStyle w:val="37"/>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本项目采购标的名称及所属行业</w:t>
            </w:r>
          </w:p>
        </w:tc>
        <w:tc>
          <w:tcPr>
            <w:tcW w:w="3216" w:type="pct"/>
            <w:vAlign w:val="center"/>
          </w:tcPr>
          <w:p>
            <w:pPr>
              <w:spacing w:line="360" w:lineRule="auto"/>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包</w:t>
            </w:r>
            <w:r>
              <w:rPr>
                <w:rFonts w:hint="eastAsia" w:asciiTheme="minorEastAsia" w:hAnsiTheme="minorEastAsia" w:eastAsiaTheme="minorEastAsia"/>
                <w:color w:val="FF0000"/>
                <w:sz w:val="24"/>
                <w:highlight w:val="none"/>
              </w:rPr>
              <w:t>（</w:t>
            </w:r>
            <w:r>
              <w:rPr>
                <w:rFonts w:hint="eastAsia" w:asciiTheme="minorEastAsia" w:hAnsiTheme="minorEastAsia" w:eastAsiaTheme="minorEastAsia"/>
                <w:i/>
                <w:iCs/>
                <w:color w:val="FF0000"/>
                <w:sz w:val="24"/>
                <w:highlight w:val="none"/>
              </w:rPr>
              <w:t>不分包项目</w:t>
            </w:r>
            <w:r>
              <w:rPr>
                <w:rFonts w:hint="eastAsia" w:asciiTheme="minorEastAsia" w:hAnsiTheme="minorEastAsia" w:eastAsiaTheme="minorEastAsia"/>
                <w:i/>
                <w:iCs/>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请删去本行</w:t>
            </w:r>
            <w:r>
              <w:rPr>
                <w:rFonts w:hint="eastAsia" w:asciiTheme="minorEastAsia" w:hAnsiTheme="minorEastAsia" w:eastAsiaTheme="minorEastAsia"/>
                <w:i/>
                <w:iCs/>
                <w:color w:val="FF0000"/>
                <w:sz w:val="24"/>
                <w:highlight w:val="none"/>
              </w:rPr>
              <w:t>）</w:t>
            </w:r>
            <w:r>
              <w:rPr>
                <w:rFonts w:hint="eastAsia" w:asciiTheme="minorEastAsia" w:hAnsiTheme="minorEastAsia" w:eastAsiaTheme="minorEastAsia"/>
                <w:color w:val="auto"/>
                <w:sz w:val="24"/>
                <w:highlight w:val="none"/>
              </w:rPr>
              <w:t>：</w:t>
            </w:r>
          </w:p>
          <w:p>
            <w:pPr>
              <w:spacing w:line="360" w:lineRule="auto"/>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标的名称：</w:t>
            </w:r>
          </w:p>
          <w:p>
            <w:pPr>
              <w:rPr>
                <w:rFonts w:ascii="宋体" w:hAnsi="宋体" w:eastAsia="宋体"/>
                <w:color w:val="auto"/>
                <w:sz w:val="24"/>
                <w:highlight w:val="none"/>
              </w:rPr>
            </w:pPr>
            <w:r>
              <w:rPr>
                <w:rFonts w:hint="eastAsia" w:asciiTheme="minorEastAsia" w:hAnsiTheme="minorEastAsia" w:eastAsiaTheme="minorEastAsia"/>
                <w:color w:val="auto"/>
                <w:sz w:val="24"/>
                <w:highlight w:val="none"/>
              </w:rPr>
              <w:t>所属行业：</w:t>
            </w:r>
          </w:p>
          <w:p>
            <w:pPr>
              <w:pStyle w:val="37"/>
              <w:widowControl w:val="0"/>
              <w:spacing w:before="0" w:beforeAutospacing="0" w:after="0" w:afterAutospacing="0" w:line="360" w:lineRule="auto"/>
              <w:jc w:val="both"/>
              <w:rPr>
                <w:rFonts w:ascii="宋体" w:hAnsi="宋体" w:eastAsia="宋体"/>
                <w:b w:val="0"/>
                <w:color w:val="auto"/>
                <w:sz w:val="24"/>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8"/>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eastAsia="zh-CN"/>
              </w:rPr>
            </w:pPr>
            <w:r>
              <w:rPr>
                <w:rFonts w:hint="eastAsia" w:ascii="宋体" w:hAnsi="宋体" w:eastAsia="宋体"/>
                <w:bCs/>
                <w:color w:val="auto"/>
                <w:kern w:val="2"/>
                <w:highlight w:val="none"/>
                <w:lang w:val="en-US" w:eastAsia="zh-CN"/>
              </w:rPr>
              <w:t>5</w:t>
            </w:r>
          </w:p>
        </w:tc>
        <w:tc>
          <w:tcPr>
            <w:tcW w:w="1192" w:type="pct"/>
            <w:vAlign w:val="center"/>
          </w:tcPr>
          <w:p>
            <w:pPr>
              <w:pStyle w:val="37"/>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w:t>
            </w:r>
          </w:p>
        </w:tc>
        <w:tc>
          <w:tcPr>
            <w:tcW w:w="3216"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w:t>
            </w:r>
          </w:p>
        </w:tc>
      </w:tr>
    </w:tbl>
    <w:p>
      <w:pPr>
        <w:spacing w:line="360" w:lineRule="auto"/>
        <w:ind w:firstLine="437"/>
        <w:outlineLvl w:val="1"/>
        <w:rPr>
          <w:rFonts w:ascii="宋体" w:hAnsi="宋体" w:eastAsia="宋体"/>
          <w:b/>
          <w:color w:val="auto"/>
          <w:sz w:val="24"/>
          <w:szCs w:val="18"/>
          <w:highlight w:val="none"/>
        </w:rPr>
      </w:pPr>
      <w:bookmarkStart w:id="72" w:name="_Toc23116"/>
      <w:bookmarkStart w:id="73" w:name="_Toc25144"/>
      <w:r>
        <w:rPr>
          <w:rFonts w:hint="eastAsia" w:ascii="宋体" w:hAnsi="宋体" w:eastAsia="宋体"/>
          <w:b/>
          <w:color w:val="auto"/>
          <w:sz w:val="24"/>
          <w:szCs w:val="18"/>
          <w:highlight w:val="none"/>
        </w:rPr>
        <w:t>二、项目概况</w:t>
      </w:r>
      <w:bookmarkEnd w:id="72"/>
      <w:bookmarkEnd w:id="73"/>
    </w:p>
    <w:p>
      <w:pPr>
        <w:spacing w:line="360" w:lineRule="auto"/>
        <w:ind w:firstLine="437"/>
        <w:rPr>
          <w:rFonts w:ascii="宋体" w:hAnsi="宋体" w:eastAsia="宋体"/>
          <w:b/>
          <w:color w:val="auto"/>
          <w:sz w:val="24"/>
          <w:szCs w:val="18"/>
          <w:highlight w:val="none"/>
        </w:rPr>
      </w:pPr>
    </w:p>
    <w:p>
      <w:pPr>
        <w:spacing w:line="360" w:lineRule="auto"/>
        <w:ind w:firstLine="437"/>
        <w:outlineLvl w:val="1"/>
        <w:rPr>
          <w:rFonts w:ascii="宋体" w:hAnsi="宋体" w:eastAsia="宋体"/>
          <w:b/>
          <w:color w:val="auto"/>
          <w:sz w:val="24"/>
          <w:szCs w:val="18"/>
          <w:highlight w:val="none"/>
        </w:rPr>
      </w:pPr>
      <w:bookmarkStart w:id="74" w:name="_Toc8586"/>
      <w:bookmarkStart w:id="75" w:name="_Toc21757"/>
      <w:r>
        <w:rPr>
          <w:rFonts w:hint="eastAsia" w:ascii="宋体" w:hAnsi="宋体" w:eastAsia="宋体"/>
          <w:b/>
          <w:color w:val="auto"/>
          <w:sz w:val="24"/>
          <w:szCs w:val="18"/>
          <w:highlight w:val="none"/>
        </w:rPr>
        <w:t>三、服务需求</w:t>
      </w:r>
      <w:bookmarkEnd w:id="74"/>
      <w:bookmarkEnd w:id="75"/>
    </w:p>
    <w:p>
      <w:pPr>
        <w:spacing w:line="360" w:lineRule="auto"/>
        <w:ind w:firstLine="437"/>
        <w:rPr>
          <w:rFonts w:ascii="宋体" w:hAnsi="宋体" w:eastAsia="宋体"/>
          <w:b/>
          <w:color w:val="auto"/>
          <w:sz w:val="24"/>
          <w:szCs w:val="18"/>
          <w:highlight w:val="none"/>
        </w:rPr>
      </w:pPr>
    </w:p>
    <w:p>
      <w:pPr>
        <w:spacing w:line="360" w:lineRule="auto"/>
        <w:ind w:firstLine="437"/>
        <w:outlineLvl w:val="1"/>
        <w:rPr>
          <w:rFonts w:ascii="宋体" w:hAnsi="宋体" w:eastAsia="宋体"/>
          <w:b/>
          <w:color w:val="auto"/>
          <w:sz w:val="24"/>
          <w:szCs w:val="18"/>
          <w:highlight w:val="none"/>
        </w:rPr>
      </w:pPr>
      <w:bookmarkStart w:id="76" w:name="_Toc18052"/>
      <w:bookmarkStart w:id="77" w:name="_Toc12910"/>
      <w:r>
        <w:rPr>
          <w:rFonts w:hint="eastAsia" w:ascii="宋体" w:hAnsi="宋体" w:eastAsia="宋体"/>
          <w:b/>
          <w:color w:val="auto"/>
          <w:sz w:val="24"/>
          <w:szCs w:val="18"/>
          <w:highlight w:val="none"/>
        </w:rPr>
        <w:t>四、报价要求</w:t>
      </w:r>
      <w:bookmarkEnd w:id="76"/>
      <w:bookmarkEnd w:id="77"/>
    </w:p>
    <w:p>
      <w:pPr>
        <w:spacing w:line="360" w:lineRule="auto"/>
        <w:ind w:firstLine="437"/>
        <w:outlineLvl w:val="1"/>
        <w:rPr>
          <w:rFonts w:ascii="宋体" w:hAnsi="宋体" w:eastAsia="宋体"/>
          <w:b/>
          <w:color w:val="auto"/>
          <w:sz w:val="24"/>
          <w:szCs w:val="18"/>
          <w:highlight w:val="none"/>
        </w:rPr>
      </w:pPr>
      <w:bookmarkStart w:id="78" w:name="_Toc23590"/>
      <w:bookmarkStart w:id="79" w:name="_Toc3530"/>
      <w:r>
        <w:rPr>
          <w:rFonts w:hint="eastAsia" w:ascii="宋体" w:hAnsi="宋体" w:eastAsia="宋体"/>
          <w:b/>
          <w:color w:val="auto"/>
          <w:sz w:val="24"/>
          <w:szCs w:val="18"/>
          <w:highlight w:val="none"/>
        </w:rPr>
        <w:t>五、其他要求</w:t>
      </w:r>
      <w:bookmarkEnd w:id="78"/>
      <w:bookmarkEnd w:id="79"/>
    </w:p>
    <w:bookmarkEnd w:id="71"/>
    <w:p>
      <w:pPr>
        <w:spacing w:line="360" w:lineRule="auto"/>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80" w:name="_Toc8668"/>
      <w:r>
        <w:rPr>
          <w:rFonts w:hint="eastAsia" w:asciiTheme="minorEastAsia" w:hAnsiTheme="minorEastAsia" w:eastAsiaTheme="minorEastAsia"/>
          <w:b/>
          <w:color w:val="auto"/>
          <w:sz w:val="28"/>
          <w:highlight w:val="none"/>
        </w:rPr>
        <w:t>第四章  评审方法和标准</w:t>
      </w:r>
      <w:bookmarkEnd w:id="80"/>
    </w:p>
    <w:p>
      <w:pPr>
        <w:spacing w:line="360" w:lineRule="auto"/>
        <w:ind w:firstLine="437"/>
        <w:outlineLvl w:val="1"/>
        <w:rPr>
          <w:rFonts w:asciiTheme="minorEastAsia" w:hAnsiTheme="minorEastAsia" w:eastAsiaTheme="minorEastAsia"/>
          <w:b/>
          <w:color w:val="auto"/>
          <w:sz w:val="24"/>
          <w:highlight w:val="none"/>
        </w:rPr>
      </w:pPr>
      <w:bookmarkStart w:id="81" w:name="_Toc21211"/>
      <w:bookmarkStart w:id="82" w:name="_Toc12199"/>
      <w:r>
        <w:rPr>
          <w:rFonts w:hint="eastAsia" w:asciiTheme="minorEastAsia" w:hAnsiTheme="minorEastAsia" w:eastAsiaTheme="minorEastAsia"/>
          <w:b/>
          <w:color w:val="auto"/>
          <w:sz w:val="24"/>
          <w:highlight w:val="none"/>
        </w:rPr>
        <w:t>一、总则</w:t>
      </w:r>
      <w:bookmarkEnd w:id="81"/>
      <w:bookmarkEnd w:id="82"/>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本项目将按照磋商文件第二章 供应商须知的相关要求</w:t>
      </w:r>
      <w:r>
        <w:rPr>
          <w:rFonts w:asciiTheme="minorEastAsia" w:hAnsiTheme="minorEastAsia" w:eastAsiaTheme="minorEastAsia"/>
          <w:color w:val="auto"/>
          <w:sz w:val="24"/>
          <w:highlight w:val="none"/>
        </w:rPr>
        <w:t>及本章的规定</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w:t>
      </w:r>
    </w:p>
    <w:p>
      <w:pPr>
        <w:spacing w:line="360" w:lineRule="auto"/>
        <w:ind w:firstLine="437"/>
        <w:outlineLvl w:val="1"/>
        <w:rPr>
          <w:rFonts w:asciiTheme="minorEastAsia" w:hAnsiTheme="minorEastAsia" w:eastAsiaTheme="minorEastAsia"/>
          <w:b/>
          <w:color w:val="auto"/>
          <w:sz w:val="24"/>
          <w:highlight w:val="none"/>
        </w:rPr>
      </w:pPr>
      <w:bookmarkStart w:id="83" w:name="_Toc16885"/>
      <w:bookmarkStart w:id="84" w:name="_Toc13039"/>
      <w:r>
        <w:rPr>
          <w:rFonts w:hint="eastAsia" w:asciiTheme="minorEastAsia" w:hAnsiTheme="minorEastAsia" w:eastAsiaTheme="minorEastAsia"/>
          <w:b/>
          <w:color w:val="auto"/>
          <w:sz w:val="24"/>
          <w:highlight w:val="none"/>
        </w:rPr>
        <w:t>二、评审方法</w:t>
      </w:r>
      <w:bookmarkEnd w:id="83"/>
      <w:bookmarkEnd w:id="84"/>
    </w:p>
    <w:p>
      <w:pPr>
        <w:spacing w:line="360" w:lineRule="auto"/>
        <w:ind w:firstLine="435"/>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2.1初审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磋商小组对供应商的响应文件进行初审，以确定其是否满足磋商文件的实质性要求。初审表如下：</w:t>
      </w:r>
    </w:p>
    <w:tbl>
      <w:tblPr>
        <w:tblStyle w:val="20"/>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810"/>
        <w:gridCol w:w="5001"/>
        <w:gridCol w:w="2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b/>
                <w:color w:val="auto"/>
                <w:sz w:val="24"/>
                <w:szCs w:val="22"/>
                <w:highlight w:val="none"/>
                <w:lang w:val="en-US" w:eastAsia="zh-CN"/>
              </w:rPr>
              <w:t>初审</w:t>
            </w:r>
            <w:r>
              <w:rPr>
                <w:rFonts w:hint="eastAsia" w:ascii="宋体" w:hAnsi="宋体" w:eastAsia="宋体"/>
                <w:b/>
                <w:color w:val="auto"/>
                <w:sz w:val="24"/>
                <w:szCs w:val="22"/>
                <w:highlight w:val="none"/>
              </w:rPr>
              <w:t>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42" w:type="pct"/>
            <w:tcBorders>
              <w:bottom w:val="single" w:color="auto" w:sz="4" w:space="0"/>
            </w:tcBorders>
            <w:vAlign w:val="center"/>
          </w:tcPr>
          <w:p>
            <w:pPr>
              <w:pStyle w:val="38"/>
              <w:pBdr>
                <w:bottom w:val="none" w:color="auto" w:sz="0" w:space="0"/>
              </w:pBdr>
              <w:tabs>
                <w:tab w:val="clear" w:pos="4153"/>
                <w:tab w:val="clear" w:pos="8306"/>
              </w:tabs>
              <w:snapToGrid w:val="0"/>
              <w:spacing w:line="360" w:lineRule="auto"/>
              <w:ind w:right="-10"/>
              <w:textAlignment w:val="auto"/>
              <w:rPr>
                <w:rFonts w:hint="default" w:ascii="宋体" w:hAnsi="宋体" w:eastAsia="宋体"/>
                <w:color w:val="auto"/>
                <w:kern w:val="2"/>
                <w:szCs w:val="24"/>
                <w:highlight w:val="none"/>
                <w:lang w:val="en-US"/>
              </w:rPr>
            </w:pPr>
            <w:r>
              <w:rPr>
                <w:rFonts w:hint="eastAsia" w:ascii="宋体" w:hAnsi="宋体" w:eastAsia="宋体"/>
                <w:color w:val="auto"/>
                <w:kern w:val="2"/>
                <w:szCs w:val="24"/>
                <w:highlight w:val="none"/>
                <w:lang w:val="en-US" w:eastAsia="zh-CN"/>
              </w:rPr>
              <w:t>审查指标</w:t>
            </w:r>
          </w:p>
        </w:tc>
        <w:tc>
          <w:tcPr>
            <w:tcW w:w="2603" w:type="pct"/>
            <w:tcBorders>
              <w:bottom w:val="single" w:color="auto" w:sz="4" w:space="0"/>
            </w:tcBorders>
            <w:vAlign w:val="center"/>
          </w:tcPr>
          <w:p>
            <w:pPr>
              <w:adjustRightInd w:val="0"/>
              <w:snapToGrid w:val="0"/>
              <w:spacing w:line="360" w:lineRule="auto"/>
              <w:ind w:right="-1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审查标准</w:t>
            </w:r>
          </w:p>
        </w:tc>
        <w:tc>
          <w:tcPr>
            <w:tcW w:w="1075"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78"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4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603"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p>
          <w:p>
            <w:pPr>
              <w:spacing w:after="50" w:line="360" w:lineRule="auto"/>
              <w:ind w:right="-10" w:rightChars="0"/>
              <w:jc w:val="left"/>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75"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w:t>
            </w:r>
            <w:r>
              <w:rPr>
                <w:rFonts w:hint="eastAsia" w:ascii="宋体" w:hAnsi="宋体" w:eastAsia="宋体" w:cs="宋体"/>
                <w:b w:val="0"/>
                <w:bCs w:val="0"/>
                <w:color w:val="auto"/>
                <w:sz w:val="24"/>
                <w:szCs w:val="24"/>
                <w:highlight w:val="none"/>
                <w:lang w:val="en-US" w:eastAsia="zh-CN"/>
              </w:rPr>
              <w:t>磋商</w:t>
            </w:r>
            <w:r>
              <w:rPr>
                <w:rFonts w:hint="eastAsia" w:ascii="宋体" w:hAnsi="宋体" w:eastAsia="宋体" w:cs="宋体"/>
                <w:b w:val="0"/>
                <w:bCs w:val="0"/>
                <w:color w:val="auto"/>
                <w:sz w:val="24"/>
                <w:szCs w:val="24"/>
                <w:highlight w:val="none"/>
              </w:rPr>
              <w:t>的联合体各方均须提供。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42" w:type="pct"/>
            <w:tcBorders>
              <w:bottom w:val="single" w:color="auto" w:sz="4" w:space="0"/>
            </w:tcBorders>
            <w:vAlign w:val="center"/>
          </w:tcPr>
          <w:p>
            <w:pPr>
              <w:spacing w:after="50" w:line="360" w:lineRule="auto"/>
              <w:ind w:right="-10" w:rightChars="0"/>
              <w:jc w:val="center"/>
              <w:rPr>
                <w:rFonts w:hint="default" w:ascii="宋体" w:hAnsi="宋体" w:eastAsia="宋体"/>
                <w:color w:val="auto"/>
                <w:sz w:val="24"/>
                <w:szCs w:val="28"/>
                <w:highlight w:val="none"/>
                <w:lang w:val="en-US"/>
              </w:rPr>
            </w:pPr>
            <w:r>
              <w:rPr>
                <w:rFonts w:hint="eastAsia" w:ascii="宋体" w:hAnsi="宋体" w:eastAsia="宋体"/>
                <w:color w:val="auto"/>
                <w:sz w:val="24"/>
                <w:szCs w:val="18"/>
                <w:highlight w:val="none"/>
                <w:lang w:val="en-US" w:eastAsia="zh-CN"/>
              </w:rPr>
              <w:t>供应商资格声明书</w:t>
            </w:r>
          </w:p>
        </w:tc>
        <w:tc>
          <w:tcPr>
            <w:tcW w:w="2603" w:type="pct"/>
            <w:tcBorders>
              <w:bottom w:val="single" w:color="auto" w:sz="4" w:space="0"/>
            </w:tcBorders>
            <w:vAlign w:val="center"/>
          </w:tcPr>
          <w:p>
            <w:pPr>
              <w:spacing w:after="50" w:line="360" w:lineRule="auto"/>
              <w:ind w:right="-10" w:rightChars="0"/>
              <w:jc w:val="left"/>
              <w:rPr>
                <w:rFonts w:hint="eastAsia" w:ascii="宋体" w:hAnsi="宋体" w:eastAsia="宋体"/>
                <w:color w:val="auto"/>
                <w:sz w:val="24"/>
                <w:szCs w:val="28"/>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ascii="宋体" w:hAnsi="宋体" w:eastAsia="宋体" w:cs="宋体"/>
                <w:sz w:val="24"/>
                <w:szCs w:val="24"/>
                <w:lang w:val="en-US" w:eastAsia="zh-CN"/>
              </w:rPr>
              <w:t>磋商</w:t>
            </w:r>
            <w:r>
              <w:rPr>
                <w:rFonts w:ascii="宋体" w:hAnsi="宋体" w:eastAsia="宋体" w:cs="宋体"/>
                <w:sz w:val="24"/>
                <w:szCs w:val="24"/>
              </w:rPr>
              <w:t>文件要求的《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075" w:type="pct"/>
            <w:vAlign w:val="center"/>
          </w:tcPr>
          <w:p>
            <w:pPr>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3</w:t>
            </w:r>
          </w:p>
        </w:tc>
        <w:tc>
          <w:tcPr>
            <w:tcW w:w="942" w:type="pct"/>
            <w:tcBorders>
              <w:bottom w:val="single" w:color="auto" w:sz="4" w:space="0"/>
            </w:tcBorders>
            <w:vAlign w:val="center"/>
          </w:tcPr>
          <w:p>
            <w:pPr>
              <w:spacing w:after="50" w:line="360" w:lineRule="auto"/>
              <w:ind w:right="-10"/>
              <w:jc w:val="center"/>
              <w:rPr>
                <w:rFonts w:ascii="宋体" w:hAnsi="宋体" w:eastAsia="宋体"/>
                <w:color w:val="auto"/>
                <w:sz w:val="24"/>
                <w:szCs w:val="28"/>
                <w:highlight w:val="none"/>
              </w:rPr>
            </w:pPr>
            <w:r>
              <w:rPr>
                <w:rFonts w:hint="eastAsia" w:ascii="宋体" w:hAnsi="宋体" w:eastAsia="宋体"/>
                <w:color w:val="auto"/>
                <w:sz w:val="24"/>
                <w:szCs w:val="18"/>
                <w:highlight w:val="none"/>
                <w:lang w:val="en-US" w:eastAsia="zh-CN"/>
              </w:rPr>
              <w:t>供应商</w:t>
            </w:r>
            <w:r>
              <w:rPr>
                <w:rFonts w:hint="eastAsia" w:ascii="宋体" w:hAnsi="宋体" w:eastAsia="宋体" w:cs="宋体"/>
                <w:color w:val="auto"/>
                <w:sz w:val="24"/>
                <w:szCs w:val="24"/>
                <w:highlight w:val="none"/>
              </w:rPr>
              <w:t>信用记录</w:t>
            </w:r>
          </w:p>
        </w:tc>
        <w:tc>
          <w:tcPr>
            <w:tcW w:w="2603" w:type="pct"/>
            <w:tcBorders>
              <w:bottom w:val="single" w:color="auto" w:sz="4" w:space="0"/>
            </w:tcBorders>
            <w:vAlign w:val="center"/>
          </w:tcPr>
          <w:p>
            <w:pPr>
              <w:spacing w:after="50" w:line="360" w:lineRule="auto"/>
              <w:ind w:right="-10" w:rightChars="0"/>
              <w:jc w:val="left"/>
            </w:pP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不得存在</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w:t>
            </w:r>
            <w:r>
              <w:rPr>
                <w:rFonts w:hint="eastAsia" w:ascii="宋体" w:hAnsi="宋体" w:eastAsia="宋体" w:cs="宋体"/>
                <w:sz w:val="24"/>
                <w:szCs w:val="24"/>
                <w:highlight w:val="none"/>
                <w:lang w:val="zh-CN" w:eastAsia="zh-CN"/>
              </w:rPr>
              <w:t>知正文第1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val="zh-CN" w:eastAsia="zh-CN"/>
              </w:rPr>
              <w:t>.</w:t>
            </w:r>
            <w:r>
              <w:rPr>
                <w:rFonts w:hint="eastAsia" w:ascii="宋体" w:hAnsi="宋体" w:eastAsia="宋体" w:cs="宋体"/>
                <w:sz w:val="24"/>
                <w:szCs w:val="24"/>
                <w:highlight w:val="none"/>
                <w:lang w:val="en-US" w:eastAsia="zh-CN"/>
              </w:rPr>
              <w:t>3条中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75"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4</w:t>
            </w:r>
          </w:p>
        </w:tc>
        <w:tc>
          <w:tcPr>
            <w:tcW w:w="942"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603"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 生产建设兵团）出具的属于监狱企业的证明文件。</w:t>
            </w:r>
          </w:p>
          <w:p>
            <w:pPr>
              <w:spacing w:after="50" w:line="360" w:lineRule="auto"/>
              <w:ind w:right="-10"/>
              <w:jc w:val="left"/>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文件要求以联合体形式参加或者要求合同分包的，且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文件关于预留份额的要求。</w:t>
            </w:r>
          </w:p>
        </w:tc>
        <w:tc>
          <w:tcPr>
            <w:tcW w:w="1075"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42" w:type="pct"/>
            <w:tcBorders>
              <w:bottom w:val="single" w:color="auto" w:sz="4" w:space="0"/>
            </w:tcBorders>
            <w:vAlign w:val="top"/>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603"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通过分包措施预留部分采购份额面向中小企业采购、且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因落实政府采购政策拟进行分包的。</w:t>
            </w:r>
          </w:p>
        </w:tc>
        <w:tc>
          <w:tcPr>
            <w:tcW w:w="1075"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6</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603"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2"/>
                <w:sz w:val="24"/>
                <w:szCs w:val="24"/>
              </w:rPr>
              <w:t>如有，见第一章《</w:t>
            </w:r>
            <w:r>
              <w:rPr>
                <w:rFonts w:hint="eastAsia" w:ascii="宋体" w:hAnsi="宋体" w:eastAsia="宋体" w:cs="宋体"/>
                <w:spacing w:val="-2"/>
                <w:sz w:val="24"/>
                <w:szCs w:val="24"/>
                <w:lang w:val="en-US" w:eastAsia="zh-CN"/>
              </w:rPr>
              <w:t>磋商</w:t>
            </w:r>
            <w:r>
              <w:rPr>
                <w:rFonts w:ascii="宋体" w:hAnsi="宋体" w:eastAsia="宋体" w:cs="宋体"/>
                <w:spacing w:val="-2"/>
                <w:sz w:val="24"/>
                <w:szCs w:val="24"/>
              </w:rPr>
              <w:t>邀请》</w:t>
            </w:r>
          </w:p>
        </w:tc>
        <w:tc>
          <w:tcPr>
            <w:tcW w:w="1075" w:type="pct"/>
            <w:tcBorders>
              <w:bottom w:val="single" w:color="auto" w:sz="4" w:space="0"/>
            </w:tcBorders>
            <w:vAlign w:val="center"/>
          </w:tcPr>
          <w:p>
            <w:pPr>
              <w:spacing w:after="50" w:line="360" w:lineRule="auto"/>
              <w:ind w:right="-10"/>
              <w:jc w:val="both"/>
              <w:rPr>
                <w:rFonts w:hint="eastAsia" w:ascii="宋体" w:hAnsi="宋体" w:eastAsia="宋体"/>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7</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spacing w:val="10"/>
                <w:sz w:val="24"/>
                <w:szCs w:val="24"/>
                <w:lang w:eastAsia="zh-CN"/>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适用于接受联合体磋商项目</w:t>
            </w:r>
            <w:r>
              <w:rPr>
                <w:rFonts w:hint="eastAsia" w:ascii="宋体" w:hAnsi="宋体" w:eastAsia="宋体" w:cs="宋体"/>
                <w:spacing w:val="-2"/>
                <w:sz w:val="24"/>
                <w:szCs w:val="24"/>
                <w:lang w:eastAsia="zh-CN"/>
              </w:rPr>
              <w:t>）</w:t>
            </w:r>
          </w:p>
        </w:tc>
        <w:tc>
          <w:tcPr>
            <w:tcW w:w="2603" w:type="pct"/>
            <w:tcBorders>
              <w:bottom w:val="single" w:color="auto" w:sz="4" w:space="0"/>
            </w:tcBorders>
            <w:vAlign w:val="center"/>
          </w:tcPr>
          <w:p>
            <w:pPr>
              <w:spacing w:after="50" w:line="360" w:lineRule="auto"/>
              <w:ind w:right="-10"/>
              <w:jc w:val="both"/>
              <w:rPr>
                <w:rFonts w:ascii="宋体" w:hAnsi="宋体" w:eastAsia="宋体" w:cs="宋体"/>
                <w:spacing w:val="-2"/>
                <w:sz w:val="24"/>
                <w:szCs w:val="24"/>
              </w:rPr>
            </w:pPr>
            <w:r>
              <w:rPr>
                <w:rFonts w:hint="eastAsia" w:ascii="宋体" w:hAnsi="宋体" w:eastAsia="宋体" w:cs="宋体"/>
                <w:spacing w:val="-2"/>
                <w:sz w:val="24"/>
                <w:szCs w:val="24"/>
                <w:highlight w:val="none"/>
                <w:lang w:val="en-US" w:eastAsia="zh-CN"/>
              </w:rPr>
              <w:t>联合体磋商的</w:t>
            </w:r>
            <w:r>
              <w:rPr>
                <w:rFonts w:hint="eastAsia" w:ascii="宋体" w:hAnsi="宋体" w:eastAsia="宋体" w:cs="宋体"/>
                <w:spacing w:val="10"/>
                <w:kern w:val="2"/>
                <w:sz w:val="24"/>
                <w:szCs w:val="24"/>
                <w:highlight w:val="none"/>
                <w:lang w:val="en-US" w:eastAsia="zh-CN" w:bidi="ar-SA"/>
              </w:rPr>
              <w:t>详见</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val="zh-CN" w:eastAsia="zh-CN"/>
              </w:rPr>
              <w:t>须知正文第</w:t>
            </w:r>
            <w:r>
              <w:rPr>
                <w:rFonts w:hint="eastAsia" w:ascii="宋体" w:hAnsi="宋体" w:eastAsia="宋体" w:cs="宋体"/>
                <w:sz w:val="24"/>
                <w:szCs w:val="24"/>
                <w:highlight w:val="none"/>
                <w:lang w:val="en-US" w:eastAsia="zh-CN"/>
              </w:rPr>
              <w:t>1.5，且</w:t>
            </w:r>
            <w:r>
              <w:rPr>
                <w:rFonts w:hint="eastAsia" w:ascii="宋体" w:hAnsi="宋体" w:eastAsia="宋体" w:cs="宋体"/>
                <w:spacing w:val="10"/>
                <w:kern w:val="2"/>
                <w:sz w:val="24"/>
                <w:szCs w:val="24"/>
                <w:highlight w:val="none"/>
                <w:lang w:val="en-US" w:eastAsia="zh-CN" w:bidi="ar-SA"/>
              </w:rPr>
              <w:t>提</w:t>
            </w:r>
            <w:r>
              <w:rPr>
                <w:rFonts w:ascii="宋体" w:hAnsi="宋体" w:eastAsia="宋体" w:cs="宋体"/>
                <w:spacing w:val="10"/>
                <w:kern w:val="2"/>
                <w:sz w:val="24"/>
                <w:szCs w:val="24"/>
                <w:highlight w:val="none"/>
                <w:lang w:val="en-US" w:eastAsia="zh-CN" w:bidi="ar-SA"/>
              </w:rPr>
              <w:t>供《联合协议》。</w:t>
            </w:r>
          </w:p>
        </w:tc>
        <w:tc>
          <w:tcPr>
            <w:tcW w:w="1075" w:type="pct"/>
            <w:tcBorders>
              <w:bottom w:val="single" w:color="auto" w:sz="4" w:space="0"/>
            </w:tcBorders>
            <w:vAlign w:val="center"/>
          </w:tcPr>
          <w:p>
            <w:pPr>
              <w:spacing w:after="50" w:line="360" w:lineRule="auto"/>
              <w:ind w:right="-10"/>
              <w:jc w:val="both"/>
              <w:rPr>
                <w:rFonts w:hint="eastAsia" w:ascii="宋体" w:hAnsi="宋体" w:eastAsia="宋体" w:cs="宋体"/>
                <w:b w:val="0"/>
                <w:bCs w:val="0"/>
                <w:color w:val="auto"/>
                <w:sz w:val="24"/>
                <w:szCs w:val="24"/>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8</w:t>
            </w:r>
          </w:p>
        </w:tc>
        <w:tc>
          <w:tcPr>
            <w:tcW w:w="942" w:type="pct"/>
            <w:vAlign w:val="center"/>
          </w:tcPr>
          <w:p>
            <w:pPr>
              <w:spacing w:after="50" w:line="360" w:lineRule="auto"/>
              <w:ind w:right="-10"/>
              <w:jc w:val="both"/>
              <w:rPr>
                <w:rFonts w:ascii="宋体" w:hAnsi="宋体" w:eastAsia="宋体" w:cs="宋体"/>
                <w:spacing w:val="10"/>
                <w:sz w:val="24"/>
                <w:szCs w:val="24"/>
                <w:lang w:val="en-US" w:eastAsia="zh-CN"/>
              </w:rPr>
            </w:pPr>
            <w:r>
              <w:rPr>
                <w:rFonts w:ascii="宋体" w:hAnsi="宋体" w:eastAsia="宋体" w:cs="宋体"/>
                <w:spacing w:val="10"/>
                <w:sz w:val="24"/>
                <w:szCs w:val="24"/>
              </w:rPr>
              <w:t>其他特定资格要求</w:t>
            </w:r>
          </w:p>
        </w:tc>
        <w:tc>
          <w:tcPr>
            <w:tcW w:w="2603" w:type="pct"/>
            <w:vAlign w:val="center"/>
          </w:tcPr>
          <w:p>
            <w:pPr>
              <w:spacing w:after="50" w:line="360" w:lineRule="auto"/>
              <w:ind w:right="-10"/>
              <w:jc w:val="both"/>
              <w:rPr>
                <w:rFonts w:ascii="宋体" w:hAnsi="宋体" w:eastAsia="宋体" w:cs="宋体"/>
                <w:spacing w:val="10"/>
                <w:sz w:val="24"/>
                <w:szCs w:val="24"/>
              </w:rPr>
            </w:pPr>
            <w:r>
              <w:rPr>
                <w:rFonts w:ascii="宋体" w:hAnsi="宋体" w:eastAsia="宋体" w:cs="宋体"/>
                <w:spacing w:val="10"/>
                <w:sz w:val="24"/>
                <w:szCs w:val="24"/>
              </w:rPr>
              <w:t>如有，见第一章《</w:t>
            </w:r>
            <w:r>
              <w:rPr>
                <w:rFonts w:hint="eastAsia" w:ascii="宋体" w:hAnsi="宋体" w:eastAsia="宋体" w:cs="宋体"/>
                <w:spacing w:val="10"/>
                <w:sz w:val="24"/>
                <w:szCs w:val="24"/>
                <w:lang w:val="en-US" w:eastAsia="zh-CN"/>
              </w:rPr>
              <w:t>磋商</w:t>
            </w:r>
            <w:r>
              <w:rPr>
                <w:rFonts w:ascii="宋体" w:hAnsi="宋体" w:eastAsia="宋体" w:cs="宋体"/>
                <w:spacing w:val="10"/>
                <w:sz w:val="24"/>
                <w:szCs w:val="24"/>
              </w:rPr>
              <w:t>邀请》</w:t>
            </w:r>
          </w:p>
        </w:tc>
        <w:tc>
          <w:tcPr>
            <w:tcW w:w="1075" w:type="pct"/>
            <w:vAlign w:val="center"/>
          </w:tcPr>
          <w:p>
            <w:pPr>
              <w:spacing w:after="50" w:line="360" w:lineRule="auto"/>
              <w:ind w:right="-10"/>
              <w:jc w:val="both"/>
              <w:rPr>
                <w:rFonts w:ascii="宋体" w:hAnsi="宋体" w:eastAsia="宋体" w:cs="宋体"/>
                <w:spacing w:val="10"/>
                <w:sz w:val="24"/>
                <w:szCs w:val="24"/>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9</w:t>
            </w:r>
          </w:p>
        </w:tc>
        <w:tc>
          <w:tcPr>
            <w:tcW w:w="1810" w:type="dxa"/>
            <w:vAlign w:val="center"/>
          </w:tcPr>
          <w:p>
            <w:pPr>
              <w:spacing w:after="50" w:line="360" w:lineRule="auto"/>
              <w:ind w:right="-10" w:rightChars="0"/>
              <w:jc w:val="center"/>
              <w:rPr>
                <w:rFonts w:hint="eastAsia"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lang w:val="en-US" w:eastAsia="zh-CN"/>
              </w:rPr>
              <w:t>磋商响应函</w:t>
            </w:r>
          </w:p>
        </w:tc>
        <w:tc>
          <w:tcPr>
            <w:tcW w:w="5001" w:type="dxa"/>
            <w:vAlign w:val="center"/>
          </w:tcPr>
          <w:p>
            <w:pPr>
              <w:spacing w:after="50" w:line="360" w:lineRule="auto"/>
              <w:ind w:right="-10" w:rightChars="0"/>
              <w:jc w:val="center"/>
              <w:rPr>
                <w:rFonts w:hint="eastAsia"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磋商</w:t>
            </w:r>
            <w:r>
              <w:rPr>
                <w:rFonts w:hint="eastAsia" w:asciiTheme="minorEastAsia" w:hAnsiTheme="minorEastAsia" w:eastAsiaTheme="minorEastAsia"/>
                <w:color w:val="auto"/>
                <w:sz w:val="24"/>
                <w:szCs w:val="28"/>
                <w:highlight w:val="none"/>
              </w:rPr>
              <w:t>文件规定并加盖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2070" w:type="dxa"/>
            <w:vAlign w:val="center"/>
          </w:tcPr>
          <w:p>
            <w:pPr>
              <w:adjustRightInd w:val="0"/>
              <w:snapToGrid w:val="0"/>
              <w:spacing w:line="360" w:lineRule="auto"/>
              <w:ind w:right="-10" w:rightChars="0"/>
              <w:jc w:val="center"/>
              <w:rPr>
                <w:rFonts w:hint="eastAsia"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10</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授权书</w:t>
            </w:r>
          </w:p>
        </w:tc>
        <w:tc>
          <w:tcPr>
            <w:tcW w:w="2603"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格式、填写要求符合</w:t>
            </w:r>
            <w:r>
              <w:rPr>
                <w:rFonts w:hint="eastAsia" w:ascii="宋体" w:hAnsi="宋体" w:eastAsia="宋体" w:cs="宋体"/>
                <w:spacing w:val="10"/>
                <w:sz w:val="24"/>
                <w:szCs w:val="24"/>
                <w:lang w:val="en-US" w:eastAsia="zh-CN"/>
              </w:rPr>
              <w:t>磋商</w:t>
            </w:r>
            <w:r>
              <w:rPr>
                <w:rFonts w:hint="eastAsia" w:asciiTheme="minorEastAsia" w:hAnsiTheme="minorEastAsia" w:eastAsiaTheme="minorEastAsia"/>
                <w:color w:val="auto"/>
                <w:sz w:val="24"/>
                <w:szCs w:val="28"/>
                <w:highlight w:val="none"/>
              </w:rPr>
              <w:t>文件规定并加盖</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75"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法定代表人参加</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的无需此件，提供身份证明即可。详见第六章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11</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lang w:val="en-US" w:eastAsia="zh-CN"/>
              </w:rPr>
              <w:t>磋商</w:t>
            </w:r>
            <w:r>
              <w:rPr>
                <w:rFonts w:hint="eastAsia" w:asciiTheme="minorEastAsia" w:hAnsiTheme="minorEastAsia" w:eastAsiaTheme="minorEastAsia"/>
                <w:color w:val="auto"/>
                <w:sz w:val="24"/>
                <w:szCs w:val="28"/>
                <w:highlight w:val="none"/>
              </w:rPr>
              <w:t>报价</w:t>
            </w:r>
          </w:p>
        </w:tc>
        <w:tc>
          <w:tcPr>
            <w:tcW w:w="2603"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w:t>
            </w:r>
            <w:r>
              <w:rPr>
                <w:rFonts w:hint="eastAsia" w:ascii="宋体" w:hAnsi="宋体" w:eastAsia="宋体" w:cs="宋体"/>
                <w:spacing w:val="10"/>
                <w:sz w:val="24"/>
                <w:szCs w:val="24"/>
                <w:lang w:val="en-US" w:eastAsia="zh-CN"/>
              </w:rPr>
              <w:t>磋商</w:t>
            </w:r>
            <w:r>
              <w:rPr>
                <w:rFonts w:hint="eastAsia"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075"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12</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603"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w:t>
            </w:r>
            <w:r>
              <w:rPr>
                <w:rFonts w:hint="eastAsia" w:ascii="宋体" w:hAnsi="宋体" w:eastAsia="宋体" w:cs="宋体"/>
                <w:spacing w:val="10"/>
                <w:sz w:val="24"/>
                <w:szCs w:val="24"/>
                <w:lang w:val="en-US" w:eastAsia="zh-CN"/>
              </w:rPr>
              <w:t>磋商</w:t>
            </w:r>
            <w:r>
              <w:rPr>
                <w:rFonts w:hint="eastAsia" w:asciiTheme="minorEastAsia" w:hAnsiTheme="minorEastAsia" w:eastAsiaTheme="minorEastAsia"/>
                <w:color w:val="auto"/>
                <w:sz w:val="24"/>
                <w:szCs w:val="28"/>
                <w:highlight w:val="none"/>
              </w:rPr>
              <w:t>文件采购需求中对付款方式、</w:t>
            </w:r>
            <w:r>
              <w:rPr>
                <w:rFonts w:hint="eastAsia" w:asciiTheme="minorEastAsia" w:hAnsiTheme="minorEastAsia" w:eastAsiaTheme="minorEastAsia"/>
                <w:color w:val="auto"/>
                <w:sz w:val="24"/>
                <w:szCs w:val="28"/>
                <w:highlight w:val="none"/>
                <w:lang w:val="en-US" w:eastAsia="zh-CN"/>
              </w:rPr>
              <w:t>服务地点</w:t>
            </w:r>
            <w:r>
              <w:rPr>
                <w:rFonts w:hint="eastAsia" w:asciiTheme="minorEastAsia" w:hAnsiTheme="minorEastAsia" w:eastAsiaTheme="minorEastAsia"/>
                <w:color w:val="auto"/>
                <w:sz w:val="24"/>
                <w:szCs w:val="28"/>
                <w:highlight w:val="none"/>
              </w:rPr>
              <w:t>、</w:t>
            </w:r>
            <w:r>
              <w:rPr>
                <w:rFonts w:hint="eastAsia" w:asciiTheme="minorEastAsia" w:hAnsiTheme="minorEastAsia" w:eastAsiaTheme="minorEastAsia"/>
                <w:color w:val="auto"/>
                <w:sz w:val="24"/>
                <w:szCs w:val="28"/>
                <w:highlight w:val="none"/>
                <w:lang w:val="en-US" w:eastAsia="zh-CN"/>
              </w:rPr>
              <w:t>服务期限</w:t>
            </w:r>
            <w:r>
              <w:rPr>
                <w:rFonts w:hint="eastAsia" w:asciiTheme="minorEastAsia" w:hAnsiTheme="minorEastAsia" w:eastAsiaTheme="minorEastAsia"/>
                <w:color w:val="auto"/>
                <w:sz w:val="24"/>
                <w:szCs w:val="28"/>
                <w:highlight w:val="none"/>
              </w:rPr>
              <w:t>的要求</w:t>
            </w:r>
          </w:p>
        </w:tc>
        <w:tc>
          <w:tcPr>
            <w:tcW w:w="1075"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13</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lang w:val="en-US" w:eastAsia="zh-CN"/>
              </w:rPr>
              <w:t>服务</w:t>
            </w:r>
            <w:r>
              <w:rPr>
                <w:rFonts w:hint="eastAsia" w:asciiTheme="minorEastAsia" w:hAnsiTheme="minorEastAsia" w:eastAsiaTheme="minorEastAsia"/>
                <w:color w:val="auto"/>
                <w:sz w:val="24"/>
                <w:szCs w:val="28"/>
                <w:highlight w:val="none"/>
              </w:rPr>
              <w:t>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603"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w:t>
            </w:r>
            <w:r>
              <w:rPr>
                <w:rFonts w:hint="eastAsia" w:ascii="宋体" w:hAnsi="宋体" w:eastAsia="宋体" w:cs="宋体"/>
                <w:spacing w:val="10"/>
                <w:sz w:val="24"/>
                <w:szCs w:val="24"/>
                <w:lang w:val="en-US" w:eastAsia="zh-CN"/>
              </w:rPr>
              <w:t>磋商</w:t>
            </w:r>
            <w:r>
              <w:rPr>
                <w:rFonts w:hint="eastAsia" w:asciiTheme="minorEastAsia" w:hAnsiTheme="minorEastAsia" w:eastAsiaTheme="minorEastAsia"/>
                <w:color w:val="auto"/>
                <w:sz w:val="24"/>
                <w:szCs w:val="28"/>
                <w:highlight w:val="none"/>
              </w:rPr>
              <w:t>文件采购需求中</w:t>
            </w:r>
            <w:r>
              <w:rPr>
                <w:rFonts w:hint="eastAsia" w:asciiTheme="minorEastAsia" w:hAnsiTheme="minorEastAsia" w:eastAsiaTheme="minorEastAsia"/>
                <w:color w:val="auto"/>
                <w:sz w:val="24"/>
                <w:szCs w:val="28"/>
                <w:highlight w:val="none"/>
                <w:lang w:val="en-US" w:eastAsia="zh-CN"/>
              </w:rPr>
              <w:t>服务</w:t>
            </w:r>
            <w:r>
              <w:rPr>
                <w:rFonts w:hint="eastAsia" w:asciiTheme="minorEastAsia" w:hAnsiTheme="minorEastAsia" w:eastAsiaTheme="minorEastAsia"/>
                <w:color w:val="auto"/>
                <w:sz w:val="24"/>
                <w:szCs w:val="28"/>
                <w:highlight w:val="none"/>
              </w:rPr>
              <w:t>要求</w:t>
            </w:r>
          </w:p>
        </w:tc>
        <w:tc>
          <w:tcPr>
            <w:tcW w:w="1075"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14</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其他要求</w:t>
            </w:r>
          </w:p>
        </w:tc>
        <w:tc>
          <w:tcPr>
            <w:tcW w:w="2603"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符合法律、行政法规规定的其他条件或</w:t>
            </w:r>
            <w:r>
              <w:rPr>
                <w:rFonts w:hint="eastAsia" w:asciiTheme="minorEastAsia" w:hAnsiTheme="minorEastAsia" w:eastAsiaTheme="minorEastAsia"/>
                <w:color w:val="auto"/>
                <w:sz w:val="24"/>
                <w:szCs w:val="28"/>
                <w:highlight w:val="none"/>
                <w:lang w:val="en-US" w:eastAsia="zh-CN"/>
              </w:rPr>
              <w:t>磋商</w:t>
            </w:r>
            <w:r>
              <w:rPr>
                <w:rFonts w:hint="eastAsia" w:asciiTheme="minorEastAsia" w:hAnsiTheme="minorEastAsia" w:eastAsiaTheme="minorEastAsia"/>
                <w:color w:val="auto"/>
                <w:sz w:val="24"/>
                <w:szCs w:val="28"/>
                <w:highlight w:val="none"/>
              </w:rPr>
              <w:t>文件列明的其他要求</w:t>
            </w:r>
          </w:p>
        </w:tc>
        <w:tc>
          <w:tcPr>
            <w:tcW w:w="1075"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初审指标通过标准：</w:t>
      </w:r>
      <w:r>
        <w:rPr>
          <w:rFonts w:hint="eastAsia" w:asciiTheme="minorEastAsia" w:hAnsiTheme="minorEastAsia" w:eastAsiaTheme="minorEastAsia"/>
          <w:color w:val="auto"/>
          <w:sz w:val="24"/>
          <w:highlight w:val="none"/>
        </w:rPr>
        <w:t>供应商必须通过初审表中的全部评审指标。</w:t>
      </w:r>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2.2综合评分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磋商小组按照下表对</w:t>
      </w:r>
      <w:r>
        <w:rPr>
          <w:rFonts w:hint="eastAsia" w:ascii="宋体" w:hAnsi="宋体" w:eastAsia="宋体"/>
          <w:color w:val="auto"/>
          <w:sz w:val="24"/>
          <w:highlight w:val="none"/>
        </w:rPr>
        <w:t>进入综合评分的所有供应商的</w:t>
      </w:r>
      <w:r>
        <w:rPr>
          <w:rFonts w:hint="eastAsia" w:asciiTheme="minorEastAsia" w:hAnsiTheme="minorEastAsia" w:eastAsiaTheme="minorEastAsia"/>
          <w:color w:val="auto"/>
          <w:sz w:val="24"/>
          <w:highlight w:val="none"/>
        </w:rPr>
        <w:t>响应文件进行综合评分。</w:t>
      </w:r>
    </w:p>
    <w:p>
      <w:pPr>
        <w:spacing w:line="360" w:lineRule="auto"/>
        <w:ind w:firstLine="435"/>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本项目综合评分满分为1</w:t>
      </w:r>
      <w:r>
        <w:rPr>
          <w:rFonts w:asciiTheme="minorEastAsia" w:hAnsiTheme="minorEastAsia" w:eastAsiaTheme="minorEastAsia"/>
          <w:color w:val="auto"/>
          <w:sz w:val="24"/>
          <w:highlight w:val="none"/>
        </w:rPr>
        <w:t>00</w:t>
      </w:r>
      <w:r>
        <w:rPr>
          <w:rFonts w:hint="eastAsia" w:asciiTheme="minorEastAsia" w:hAnsiTheme="minorEastAsia" w:eastAsiaTheme="minorEastAsia"/>
          <w:color w:val="auto"/>
          <w:sz w:val="24"/>
          <w:highlight w:val="none"/>
        </w:rPr>
        <w:t>分，其中：技术资信分值占总分值的权重为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%，价格分值占总分值的权重为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%。具体评分细则如下：</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9"/>
        <w:gridCol w:w="1886"/>
        <w:gridCol w:w="4107"/>
        <w:gridCol w:w="1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6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类别</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评分内容</w:t>
            </w: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评分标准</w:t>
            </w: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restart"/>
            <w:tcBorders>
              <w:top w:val="single" w:color="auto" w:sz="4" w:space="0"/>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技术资信分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bCs/>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Borders>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413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价格分统一采用低价优先法，即满足磋商文件要求且最后报价最低的供应商的价格为磋商基准价，其价格分为满分</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分。其他供应商的价格分统一按照下列公式计算：</w:t>
            </w:r>
          </w:p>
          <w:p>
            <w:pPr>
              <w:spacing w:line="360" w:lineRule="auto"/>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磋商报价得分＝（磋商基准价/</w:t>
            </w:r>
            <w:r>
              <w:rPr>
                <w:rFonts w:hint="eastAsia" w:ascii="宋体" w:hAnsi="宋体" w:eastAsia="宋体"/>
                <w:color w:val="auto"/>
                <w:sz w:val="24"/>
                <w:highlight w:val="none"/>
              </w:rPr>
              <w:t>最后磋商</w:t>
            </w:r>
            <w:r>
              <w:rPr>
                <w:rFonts w:hint="eastAsia" w:asciiTheme="minorEastAsia" w:hAnsiTheme="minorEastAsia" w:eastAsiaTheme="minorEastAsia"/>
                <w:color w:val="auto"/>
                <w:sz w:val="24"/>
                <w:highlight w:val="none"/>
              </w:rPr>
              <w:t>报价）×</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％×100</w:t>
            </w: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分值汇总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1）磋商小组各成员应当独立对每个有效响应的文件进行评价、打分，然后汇总每个供应商每项评分因素的得分，再取各位评委评分之平均值，四舍五入保留至小数点后两位数，得到该供应商的技术资信分。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2）将每个供应商的技术资信分加上根据上述标准计算出的价格分，即为该供应商的综合总得分。</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sz w:val="28"/>
        </w:rPr>
      </w:pPr>
      <w:bookmarkStart w:id="85" w:name="_Toc63440929"/>
      <w:bookmarkStart w:id="86" w:name="_Toc17167"/>
      <w:r>
        <w:rPr>
          <w:rFonts w:hint="eastAsia" w:asciiTheme="minorEastAsia" w:hAnsiTheme="minorEastAsia" w:eastAsiaTheme="minorEastAsia"/>
          <w:b/>
          <w:sz w:val="28"/>
        </w:rPr>
        <w:t xml:space="preserve">第五章  </w:t>
      </w:r>
      <w:r>
        <w:rPr>
          <w:rFonts w:asciiTheme="minorEastAsia" w:hAnsiTheme="minorEastAsia" w:eastAsiaTheme="minorEastAsia"/>
          <w:b/>
          <w:sz w:val="28"/>
        </w:rPr>
        <w:t>政府采购合同</w:t>
      </w:r>
      <w:bookmarkEnd w:id="85"/>
      <w:bookmarkEnd w:id="86"/>
    </w:p>
    <w:p>
      <w:pPr>
        <w:spacing w:line="480" w:lineRule="auto"/>
        <w:jc w:val="center"/>
        <w:rPr>
          <w:rFonts w:asciiTheme="minorEastAsia" w:hAnsiTheme="minorEastAsia" w:eastAsiaTheme="minorEastAsia"/>
          <w:b/>
          <w:sz w:val="24"/>
        </w:rPr>
      </w:pPr>
    </w:p>
    <w:p>
      <w:pPr>
        <w:spacing w:line="480" w:lineRule="auto"/>
        <w:jc w:val="center"/>
        <w:rPr>
          <w:rFonts w:asciiTheme="minorEastAsia" w:hAnsiTheme="minorEastAsia" w:eastAsiaTheme="minorEastAsia"/>
          <w:b/>
          <w:sz w:val="24"/>
        </w:rPr>
      </w:pPr>
    </w:p>
    <w:p>
      <w:pPr>
        <w:spacing w:line="480" w:lineRule="auto"/>
        <w:jc w:val="center"/>
        <w:rPr>
          <w:rFonts w:asciiTheme="minorEastAsia" w:hAnsiTheme="minorEastAsia" w:eastAsiaTheme="minorEastAsia"/>
          <w:b/>
          <w:sz w:val="24"/>
        </w:rPr>
      </w:pPr>
    </w:p>
    <w:p>
      <w:pPr>
        <w:spacing w:line="480" w:lineRule="auto"/>
        <w:jc w:val="center"/>
        <w:outlineLvl w:val="1"/>
        <w:rPr>
          <w:rFonts w:asciiTheme="minorEastAsia" w:hAnsiTheme="minorEastAsia" w:eastAsiaTheme="minorEastAsia"/>
          <w:b/>
          <w:sz w:val="32"/>
          <w:szCs w:val="32"/>
        </w:rPr>
      </w:pPr>
      <w:bookmarkStart w:id="87" w:name="_Toc9456"/>
      <w:r>
        <w:rPr>
          <w:rFonts w:asciiTheme="minorEastAsia" w:hAnsiTheme="minorEastAsia" w:eastAsiaTheme="minorEastAsia"/>
          <w:b/>
          <w:sz w:val="32"/>
          <w:szCs w:val="32"/>
        </w:rPr>
        <w:t>政府采购合同</w:t>
      </w:r>
      <w:r>
        <w:rPr>
          <w:rFonts w:hint="eastAsia" w:asciiTheme="minorEastAsia" w:hAnsiTheme="minorEastAsia" w:eastAsiaTheme="minorEastAsia"/>
          <w:b/>
          <w:sz w:val="32"/>
          <w:szCs w:val="32"/>
        </w:rPr>
        <w:t>参考范本</w:t>
      </w:r>
      <w:bookmarkEnd w:id="87"/>
    </w:p>
    <w:p>
      <w:pPr>
        <w:spacing w:line="480" w:lineRule="auto"/>
        <w:jc w:val="center"/>
        <w:outlineLvl w:val="1"/>
        <w:rPr>
          <w:rFonts w:asciiTheme="minorEastAsia" w:hAnsiTheme="minorEastAsia" w:eastAsiaTheme="minorEastAsia"/>
          <w:b/>
          <w:sz w:val="32"/>
          <w:szCs w:val="32"/>
        </w:rPr>
      </w:pPr>
      <w:bookmarkStart w:id="88" w:name="_Toc26618"/>
      <w:r>
        <w:rPr>
          <w:rFonts w:hint="eastAsia" w:asciiTheme="minorEastAsia" w:hAnsiTheme="minorEastAsia" w:eastAsiaTheme="minorEastAsia"/>
          <w:b/>
          <w:sz w:val="32"/>
          <w:szCs w:val="32"/>
        </w:rPr>
        <w:t>（货物类）</w:t>
      </w:r>
      <w:bookmarkEnd w:id="88"/>
    </w:p>
    <w:p>
      <w:pPr>
        <w:spacing w:line="480" w:lineRule="auto"/>
        <w:jc w:val="center"/>
        <w:rPr>
          <w:rFonts w:asciiTheme="minorEastAsia" w:hAnsiTheme="minorEastAsia" w:eastAsiaTheme="minorEastAsia"/>
          <w:b/>
          <w:sz w:val="24"/>
        </w:rPr>
      </w:pPr>
    </w:p>
    <w:p>
      <w:pPr>
        <w:spacing w:line="480" w:lineRule="auto"/>
        <w:jc w:val="center"/>
        <w:rPr>
          <w:rFonts w:asciiTheme="minorEastAsia" w:hAnsiTheme="minorEastAsia" w:eastAsiaTheme="minorEastAsia"/>
          <w:b/>
          <w:sz w:val="24"/>
        </w:rPr>
      </w:pPr>
    </w:p>
    <w:p>
      <w:pPr>
        <w:spacing w:line="480" w:lineRule="auto"/>
        <w:jc w:val="center"/>
        <w:rPr>
          <w:rFonts w:asciiTheme="minorEastAsia" w:hAnsiTheme="minorEastAsia" w:eastAsiaTheme="minorEastAsia"/>
          <w:b/>
          <w:sz w:val="24"/>
        </w:rPr>
      </w:pPr>
    </w:p>
    <w:p>
      <w:pPr>
        <w:spacing w:line="360" w:lineRule="auto"/>
        <w:jc w:val="center"/>
        <w:outlineLvl w:val="1"/>
        <w:rPr>
          <w:rFonts w:asciiTheme="minorEastAsia" w:hAnsiTheme="minorEastAsia" w:eastAsiaTheme="minorEastAsia"/>
          <w:b/>
          <w:sz w:val="24"/>
        </w:rPr>
      </w:pPr>
      <w:bookmarkStart w:id="89" w:name="_Toc18055"/>
      <w:r>
        <w:rPr>
          <w:rFonts w:hint="eastAsia" w:asciiTheme="minorEastAsia" w:hAnsiTheme="minorEastAsia" w:eastAsiaTheme="minorEastAsia"/>
          <w:b/>
          <w:sz w:val="24"/>
        </w:rPr>
        <w:t>第一部分 合同书</w:t>
      </w:r>
      <w:bookmarkEnd w:id="89"/>
    </w:p>
    <w:p>
      <w:pPr>
        <w:spacing w:line="480" w:lineRule="auto"/>
        <w:jc w:val="center"/>
        <w:rPr>
          <w:rFonts w:asciiTheme="minorEastAsia" w:hAnsiTheme="minorEastAsia" w:eastAsiaTheme="minorEastAsia"/>
          <w:b/>
          <w:sz w:val="24"/>
        </w:rPr>
      </w:pPr>
    </w:p>
    <w:p>
      <w:pPr>
        <w:spacing w:line="480" w:lineRule="auto"/>
        <w:jc w:val="center"/>
        <w:rPr>
          <w:rFonts w:asciiTheme="minorEastAsia" w:hAnsiTheme="minorEastAsia" w:eastAsiaTheme="minorEastAsia"/>
          <w:b/>
          <w:sz w:val="24"/>
        </w:rPr>
      </w:pPr>
    </w:p>
    <w:p>
      <w:pPr>
        <w:spacing w:line="480" w:lineRule="auto"/>
        <w:jc w:val="center"/>
        <w:rPr>
          <w:rFonts w:asciiTheme="minorEastAsia" w:hAnsiTheme="minorEastAsia" w:eastAsiaTheme="minorEastAsia"/>
          <w:b/>
          <w:sz w:val="24"/>
        </w:rPr>
      </w:pPr>
    </w:p>
    <w:p>
      <w:pPr>
        <w:spacing w:before="120" w:line="480" w:lineRule="auto"/>
        <w:ind w:left="960"/>
        <w:rPr>
          <w:rFonts w:asciiTheme="minorEastAsia" w:hAnsiTheme="minorEastAsia" w:eastAsiaTheme="minorEastAsia"/>
          <w:sz w:val="24"/>
          <w:u w:val="single"/>
        </w:rPr>
      </w:pPr>
      <w:r>
        <w:rPr>
          <w:rFonts w:hint="eastAsia" w:asciiTheme="minorEastAsia" w:hAnsiTheme="minorEastAsia" w:eastAsiaTheme="minorEastAsia"/>
          <w:sz w:val="24"/>
        </w:rPr>
        <w:t>项目名称：</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i/>
          <w:iCs/>
          <w:sz w:val="24"/>
        </w:rPr>
        <w:t>（分包项目须填写完整的分包号及分包名称）</w:t>
      </w:r>
    </w:p>
    <w:p>
      <w:pPr>
        <w:spacing w:before="120" w:line="480" w:lineRule="auto"/>
        <w:ind w:left="960"/>
        <w:rPr>
          <w:rFonts w:asciiTheme="minorEastAsia" w:hAnsiTheme="minorEastAsia" w:eastAsiaTheme="minorEastAsia"/>
          <w:sz w:val="24"/>
        </w:rPr>
      </w:pPr>
      <w:r>
        <w:rPr>
          <w:rFonts w:hint="eastAsia" w:asciiTheme="minorEastAsia" w:hAnsiTheme="minorEastAsia" w:eastAsiaTheme="minorEastAsia"/>
          <w:sz w:val="24"/>
        </w:rPr>
        <w:t>项目编号：</w:t>
      </w:r>
      <w:r>
        <w:rPr>
          <w:rFonts w:hint="eastAsia" w:asciiTheme="minorEastAsia" w:hAnsiTheme="minorEastAsia" w:eastAsiaTheme="minorEastAsia"/>
          <w:sz w:val="24"/>
          <w:u w:val="single"/>
          <w:lang w:val="en-US" w:eastAsia="zh-CN"/>
        </w:rPr>
        <w:t xml:space="preserve">      </w:t>
      </w:r>
    </w:p>
    <w:p>
      <w:pPr>
        <w:spacing w:before="120" w:line="480" w:lineRule="auto"/>
        <w:ind w:left="960"/>
        <w:rPr>
          <w:rFonts w:asciiTheme="minorEastAsia" w:hAnsiTheme="minorEastAsia" w:eastAsiaTheme="minorEastAsia"/>
          <w:sz w:val="24"/>
          <w:u w:val="single"/>
        </w:rPr>
      </w:pPr>
      <w:r>
        <w:rPr>
          <w:rFonts w:hint="eastAsia" w:asciiTheme="minorEastAsia" w:hAnsiTheme="minorEastAsia" w:eastAsiaTheme="minorEastAsia"/>
          <w:sz w:val="24"/>
        </w:rPr>
        <w:t>甲方（采购人）：</w:t>
      </w:r>
      <w:r>
        <w:rPr>
          <w:rFonts w:hint="eastAsia" w:asciiTheme="minorEastAsia" w:hAnsiTheme="minorEastAsia" w:eastAsiaTheme="minorEastAsia"/>
          <w:sz w:val="24"/>
          <w:u w:val="single"/>
        </w:rPr>
        <w:t xml:space="preserve">                              </w:t>
      </w:r>
    </w:p>
    <w:p>
      <w:pPr>
        <w:spacing w:before="120" w:line="480" w:lineRule="auto"/>
        <w:ind w:left="960"/>
        <w:rPr>
          <w:rFonts w:asciiTheme="minorEastAsia" w:hAnsiTheme="minorEastAsia" w:eastAsiaTheme="minorEastAsia"/>
          <w:sz w:val="24"/>
          <w:u w:val="single"/>
        </w:rPr>
      </w:pPr>
      <w:r>
        <w:rPr>
          <w:rFonts w:hint="eastAsia" w:asciiTheme="minorEastAsia" w:hAnsiTheme="minorEastAsia" w:eastAsiaTheme="minorEastAsia"/>
          <w:sz w:val="24"/>
        </w:rPr>
        <w:t>乙方（成交供应商）：</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 xml:space="preserve">                  </w:t>
      </w:r>
    </w:p>
    <w:p>
      <w:pPr>
        <w:spacing w:before="120" w:line="480" w:lineRule="auto"/>
        <w:ind w:firstLine="960" w:firstLineChars="400"/>
        <w:rPr>
          <w:rFonts w:asciiTheme="minorEastAsia" w:hAnsiTheme="minorEastAsia" w:eastAsiaTheme="minorEastAsia"/>
          <w:sz w:val="24"/>
          <w:u w:val="single"/>
        </w:rPr>
      </w:pPr>
      <w:r>
        <w:rPr>
          <w:rFonts w:hint="eastAsia" w:asciiTheme="minorEastAsia" w:hAnsiTheme="minorEastAsia" w:eastAsiaTheme="minorEastAsia"/>
          <w:sz w:val="24"/>
        </w:rPr>
        <w:t>签订地：</w:t>
      </w:r>
      <w:r>
        <w:rPr>
          <w:rFonts w:hint="eastAsia" w:asciiTheme="minorEastAsia" w:hAnsiTheme="minorEastAsia" w:eastAsiaTheme="minorEastAsia"/>
          <w:sz w:val="24"/>
          <w:u w:val="single"/>
        </w:rPr>
        <w:t xml:space="preserve">                                     </w:t>
      </w:r>
    </w:p>
    <w:p>
      <w:pPr>
        <w:spacing w:before="120" w:line="480" w:lineRule="auto"/>
        <w:ind w:firstLine="960" w:firstLineChars="40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widowControl/>
        <w:jc w:val="left"/>
        <w:rPr>
          <w:rFonts w:asciiTheme="minorEastAsia" w:hAnsiTheme="minorEastAsia" w:eastAsiaTheme="minorEastAsia"/>
          <w:sz w:val="24"/>
        </w:rPr>
      </w:pPr>
      <w:r>
        <w:rPr>
          <w:rFonts w:asciiTheme="minorEastAsia" w:hAnsiTheme="minorEastAsia" w:eastAsiaTheme="minorEastAsia"/>
          <w:sz w:val="24"/>
        </w:rPr>
        <w:br w:type="page"/>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sz w:val="24"/>
        </w:rPr>
        <w:t>（</w:t>
      </w:r>
      <w:r>
        <w:rPr>
          <w:rFonts w:hint="eastAsia" w:asciiTheme="minorEastAsia" w:hAnsiTheme="minorEastAsia" w:eastAsiaTheme="minorEastAsia"/>
          <w:sz w:val="24"/>
          <w:lang w:val="zh-CN"/>
        </w:rPr>
        <w:t>以下简称：甲方</w:t>
      </w:r>
      <w:r>
        <w:rPr>
          <w:rFonts w:hint="eastAsia" w:asciiTheme="minorEastAsia" w:hAnsiTheme="minorEastAsia" w:eastAsiaTheme="minorEastAsia"/>
          <w:sz w:val="24"/>
        </w:rPr>
        <w:t>）通过</w:t>
      </w: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sz w:val="24"/>
        </w:rPr>
        <w:t>组织的</w:t>
      </w:r>
      <w:r>
        <w:rPr>
          <w:rFonts w:hint="eastAsia" w:asciiTheme="minorEastAsia" w:hAnsiTheme="minorEastAsia" w:eastAsiaTheme="minorEastAsia"/>
          <w:sz w:val="24"/>
          <w:u w:val="none"/>
        </w:rPr>
        <w:t>竞争性磋商</w:t>
      </w:r>
      <w:r>
        <w:rPr>
          <w:rFonts w:hint="eastAsia" w:asciiTheme="minorEastAsia" w:hAnsiTheme="minorEastAsia" w:eastAsiaTheme="minorEastAsia"/>
          <w:sz w:val="24"/>
        </w:rPr>
        <w:t>方式采购活动，经</w:t>
      </w:r>
      <w:r>
        <w:rPr>
          <w:rFonts w:hint="eastAsia" w:asciiTheme="minorEastAsia" w:hAnsiTheme="minorEastAsia" w:eastAsiaTheme="minorEastAsia"/>
          <w:sz w:val="24"/>
          <w:u w:val="none"/>
        </w:rPr>
        <w:t>磋商小组</w:t>
      </w:r>
      <w:r>
        <w:rPr>
          <w:rFonts w:hint="eastAsia" w:asciiTheme="minorEastAsia" w:hAnsiTheme="minorEastAsia" w:eastAsiaTheme="minorEastAsia"/>
          <w:sz w:val="24"/>
        </w:rPr>
        <w:t>评定，</w:t>
      </w: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sz w:val="24"/>
        </w:rPr>
        <w:t>（</w:t>
      </w:r>
      <w:r>
        <w:rPr>
          <w:rFonts w:hint="eastAsia" w:asciiTheme="minorEastAsia" w:hAnsiTheme="minorEastAsia" w:eastAsiaTheme="minorEastAsia"/>
          <w:sz w:val="24"/>
          <w:lang w:val="zh-CN"/>
        </w:rPr>
        <w:t>以下简称：乙方</w:t>
      </w:r>
      <w:r>
        <w:rPr>
          <w:rFonts w:hint="eastAsia" w:asciiTheme="minorEastAsia" w:hAnsiTheme="minorEastAsia" w:eastAsiaTheme="minorEastAsia"/>
          <w:sz w:val="24"/>
        </w:rPr>
        <w:t>）为本项目成交供应商，现按照采购文件确定的事项签订本合同。</w:t>
      </w:r>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rPr>
        <w:t>根据《中华人民共和国民法典》、《中华人民共和国政府采购法》等相关法律法规之规定，按照平等、自愿、公平和诚实信用的原则，经甲方和乙方协商一致，约定以下合同条款，以兹共同遵守、全面履行。</w:t>
      </w:r>
    </w:p>
    <w:p>
      <w:pPr>
        <w:spacing w:line="360" w:lineRule="auto"/>
        <w:ind w:firstLine="437"/>
        <w:outlineLvl w:val="2"/>
        <w:rPr>
          <w:rFonts w:asciiTheme="minorEastAsia" w:hAnsiTheme="minorEastAsia" w:eastAsiaTheme="minorEastAsia"/>
          <w:b/>
          <w:bCs/>
          <w:sz w:val="24"/>
          <w:lang w:val="zh-CN"/>
        </w:rPr>
      </w:pPr>
      <w:bookmarkStart w:id="90" w:name="_Toc24059"/>
      <w:bookmarkStart w:id="91" w:name="_Toc2232"/>
      <w:bookmarkStart w:id="92" w:name="_Toc3029"/>
      <w:r>
        <w:rPr>
          <w:rFonts w:hint="eastAsia" w:asciiTheme="minorEastAsia" w:hAnsiTheme="minorEastAsia" w:eastAsiaTheme="minorEastAsia"/>
          <w:b/>
          <w:bCs/>
          <w:sz w:val="24"/>
          <w:lang w:val="zh-CN"/>
        </w:rPr>
        <w:t>1.1</w:t>
      </w:r>
      <w:r>
        <w:rPr>
          <w:rFonts w:asciiTheme="minorEastAsia" w:hAnsiTheme="minorEastAsia" w:eastAsiaTheme="minorEastAsia"/>
          <w:b/>
          <w:bCs/>
          <w:sz w:val="24"/>
          <w:lang w:val="zh-CN"/>
        </w:rPr>
        <w:t xml:space="preserve"> </w:t>
      </w:r>
      <w:r>
        <w:rPr>
          <w:rFonts w:hint="eastAsia" w:asciiTheme="minorEastAsia" w:hAnsiTheme="minorEastAsia" w:eastAsiaTheme="minorEastAsia"/>
          <w:b/>
          <w:bCs/>
          <w:sz w:val="24"/>
          <w:lang w:val="zh-CN"/>
        </w:rPr>
        <w:t>合同组成部分</w:t>
      </w:r>
      <w:bookmarkEnd w:id="90"/>
      <w:bookmarkEnd w:id="91"/>
      <w:bookmarkEnd w:id="92"/>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lang w:val="zh-CN"/>
        </w:rPr>
        <w:t>下列文件为本合同的组成部分，并构成一个整体，需综合解释、相互补充。如果下列文件内容出现不一致的情形，那么在保证按照采购文件确定的事项前提下，组成本合同的多个文件的优先适用顺序如下：</w:t>
      </w:r>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lang w:val="zh-CN"/>
        </w:rPr>
        <w:t>1.1.1本合同及其补充合同、变更协议；</w:t>
      </w:r>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lang w:val="zh-CN"/>
        </w:rPr>
        <w:t>1.1.2成交通知书；</w:t>
      </w:r>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lang w:val="zh-CN"/>
        </w:rPr>
        <w:t>1.1.3响应文件（含澄清或者说明文件）；</w:t>
      </w:r>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lang w:val="zh-CN"/>
        </w:rPr>
        <w:t>1.1.4磋商文件（含澄清或者修改文件）；</w:t>
      </w:r>
    </w:p>
    <w:p>
      <w:pPr>
        <w:spacing w:line="360" w:lineRule="auto"/>
        <w:ind w:firstLine="435"/>
        <w:rPr>
          <w:rFonts w:asciiTheme="minorEastAsia" w:hAnsiTheme="minorEastAsia" w:eastAsiaTheme="minorEastAsia"/>
          <w:sz w:val="24"/>
          <w:lang w:val="zh-CN"/>
        </w:rPr>
      </w:pPr>
      <w:r>
        <w:rPr>
          <w:rFonts w:hint="eastAsia" w:asciiTheme="minorEastAsia" w:hAnsiTheme="minorEastAsia" w:eastAsiaTheme="minorEastAsia"/>
          <w:sz w:val="24"/>
          <w:lang w:val="zh-CN"/>
        </w:rPr>
        <w:t>1.1.5其他相关采购文件。</w:t>
      </w:r>
    </w:p>
    <w:p>
      <w:pPr>
        <w:spacing w:line="360" w:lineRule="auto"/>
        <w:ind w:firstLine="437"/>
        <w:outlineLvl w:val="2"/>
        <w:rPr>
          <w:rFonts w:asciiTheme="minorEastAsia" w:hAnsiTheme="minorEastAsia" w:eastAsiaTheme="minorEastAsia"/>
          <w:b/>
          <w:bCs/>
          <w:sz w:val="24"/>
          <w:lang w:val="zh-CN"/>
        </w:rPr>
      </w:pPr>
      <w:bookmarkStart w:id="93" w:name="_Toc21295"/>
      <w:bookmarkStart w:id="94" w:name="_Toc24300"/>
      <w:bookmarkStart w:id="95" w:name="_Toc27126"/>
      <w:r>
        <w:rPr>
          <w:rFonts w:hint="eastAsia" w:asciiTheme="minorEastAsia" w:hAnsiTheme="minorEastAsia" w:eastAsiaTheme="minorEastAsia"/>
          <w:b/>
          <w:bCs/>
          <w:sz w:val="24"/>
          <w:lang w:val="zh-CN"/>
        </w:rPr>
        <w:t>1.2</w:t>
      </w:r>
      <w:r>
        <w:rPr>
          <w:rFonts w:asciiTheme="minorEastAsia" w:hAnsiTheme="minorEastAsia" w:eastAsiaTheme="minorEastAsia"/>
          <w:b/>
          <w:bCs/>
          <w:sz w:val="24"/>
          <w:lang w:val="zh-CN"/>
        </w:rPr>
        <w:t xml:space="preserve"> </w:t>
      </w:r>
      <w:r>
        <w:rPr>
          <w:rFonts w:hint="eastAsia" w:asciiTheme="minorEastAsia" w:hAnsiTheme="minorEastAsia" w:eastAsiaTheme="minorEastAsia"/>
          <w:b/>
          <w:bCs/>
          <w:sz w:val="24"/>
          <w:lang w:val="zh-CN"/>
        </w:rPr>
        <w:t>货物</w:t>
      </w:r>
      <w:bookmarkEnd w:id="93"/>
      <w:bookmarkEnd w:id="94"/>
      <w:bookmarkEnd w:id="95"/>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1"/>
        <w:gridCol w:w="1662"/>
        <w:gridCol w:w="1662"/>
        <w:gridCol w:w="1658"/>
        <w:gridCol w:w="1658"/>
        <w:gridCol w:w="1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序号</w:t>
            </w:r>
          </w:p>
        </w:tc>
        <w:tc>
          <w:tcPr>
            <w:tcW w:w="889" w:type="pct"/>
            <w:vAlign w:val="center"/>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货物名称</w:t>
            </w:r>
          </w:p>
        </w:tc>
        <w:tc>
          <w:tcPr>
            <w:tcW w:w="889" w:type="pct"/>
            <w:vAlign w:val="center"/>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规格型号</w:t>
            </w:r>
          </w:p>
        </w:tc>
        <w:tc>
          <w:tcPr>
            <w:tcW w:w="887" w:type="pct"/>
            <w:vAlign w:val="center"/>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单位</w:t>
            </w:r>
          </w:p>
        </w:tc>
        <w:tc>
          <w:tcPr>
            <w:tcW w:w="887" w:type="pct"/>
            <w:vAlign w:val="center"/>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数量</w:t>
            </w:r>
          </w:p>
        </w:tc>
        <w:tc>
          <w:tcPr>
            <w:tcW w:w="886" w:type="pct"/>
            <w:vAlign w:val="center"/>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生产厂商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1</w:t>
            </w:r>
          </w:p>
        </w:tc>
        <w:tc>
          <w:tcPr>
            <w:tcW w:w="889" w:type="pct"/>
            <w:vAlign w:val="center"/>
          </w:tcPr>
          <w:p>
            <w:pPr>
              <w:jc w:val="center"/>
              <w:rPr>
                <w:rFonts w:asciiTheme="minorEastAsia" w:hAnsiTheme="minorEastAsia" w:eastAsiaTheme="minorEastAsia"/>
                <w:sz w:val="24"/>
                <w:lang w:val="zh-CN"/>
              </w:rPr>
            </w:pPr>
          </w:p>
        </w:tc>
        <w:tc>
          <w:tcPr>
            <w:tcW w:w="889"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6" w:type="pct"/>
            <w:vAlign w:val="center"/>
          </w:tcPr>
          <w:p>
            <w:pPr>
              <w:jc w:val="center"/>
              <w:rPr>
                <w:rFonts w:asciiTheme="minorEastAsia" w:hAnsiTheme="minorEastAsia" w:eastAsiaTheme="minorEastAsia"/>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2</w:t>
            </w:r>
          </w:p>
        </w:tc>
        <w:tc>
          <w:tcPr>
            <w:tcW w:w="889" w:type="pct"/>
            <w:vAlign w:val="center"/>
          </w:tcPr>
          <w:p>
            <w:pPr>
              <w:jc w:val="center"/>
              <w:rPr>
                <w:rFonts w:asciiTheme="minorEastAsia" w:hAnsiTheme="minorEastAsia" w:eastAsiaTheme="minorEastAsia"/>
                <w:sz w:val="24"/>
                <w:lang w:val="zh-CN"/>
              </w:rPr>
            </w:pPr>
          </w:p>
        </w:tc>
        <w:tc>
          <w:tcPr>
            <w:tcW w:w="889"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6" w:type="pct"/>
            <w:vAlign w:val="center"/>
          </w:tcPr>
          <w:p>
            <w:pPr>
              <w:jc w:val="center"/>
              <w:rPr>
                <w:rFonts w:asciiTheme="minorEastAsia" w:hAnsiTheme="minorEastAsia" w:eastAsiaTheme="minorEastAsia"/>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pct"/>
          </w:tcPr>
          <w:p>
            <w:pPr>
              <w:jc w:val="center"/>
              <w:rPr>
                <w:rFonts w:asciiTheme="minorEastAsia" w:hAnsiTheme="minorEastAsia" w:eastAsiaTheme="minorEastAsia"/>
                <w:sz w:val="24"/>
                <w:lang w:val="zh-CN"/>
              </w:rPr>
            </w:pPr>
            <w:r>
              <w:rPr>
                <w:rFonts w:asciiTheme="minorEastAsia" w:hAnsiTheme="minorEastAsia" w:eastAsiaTheme="minorEastAsia"/>
                <w:sz w:val="24"/>
                <w:lang w:val="zh-CN"/>
              </w:rPr>
              <w:t>3</w:t>
            </w:r>
          </w:p>
        </w:tc>
        <w:tc>
          <w:tcPr>
            <w:tcW w:w="889" w:type="pct"/>
            <w:vAlign w:val="center"/>
          </w:tcPr>
          <w:p>
            <w:pPr>
              <w:jc w:val="center"/>
              <w:rPr>
                <w:rFonts w:asciiTheme="minorEastAsia" w:hAnsiTheme="minorEastAsia" w:eastAsiaTheme="minorEastAsia"/>
                <w:sz w:val="24"/>
                <w:lang w:val="zh-CN"/>
              </w:rPr>
            </w:pPr>
          </w:p>
        </w:tc>
        <w:tc>
          <w:tcPr>
            <w:tcW w:w="889"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6" w:type="pct"/>
            <w:vAlign w:val="center"/>
          </w:tcPr>
          <w:p>
            <w:pPr>
              <w:jc w:val="center"/>
              <w:rPr>
                <w:rFonts w:asciiTheme="minorEastAsia" w:hAnsiTheme="minorEastAsia" w:eastAsiaTheme="minorEastAsia"/>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3"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w:t>
            </w:r>
          </w:p>
        </w:tc>
        <w:tc>
          <w:tcPr>
            <w:tcW w:w="889" w:type="pct"/>
            <w:vAlign w:val="center"/>
          </w:tcPr>
          <w:p>
            <w:pPr>
              <w:jc w:val="center"/>
              <w:rPr>
                <w:rFonts w:asciiTheme="minorEastAsia" w:hAnsiTheme="minorEastAsia" w:eastAsiaTheme="minorEastAsia"/>
                <w:sz w:val="24"/>
                <w:lang w:val="zh-CN"/>
              </w:rPr>
            </w:pPr>
          </w:p>
        </w:tc>
        <w:tc>
          <w:tcPr>
            <w:tcW w:w="889"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7" w:type="pct"/>
            <w:vAlign w:val="center"/>
          </w:tcPr>
          <w:p>
            <w:pPr>
              <w:jc w:val="center"/>
              <w:rPr>
                <w:rFonts w:asciiTheme="minorEastAsia" w:hAnsiTheme="minorEastAsia" w:eastAsiaTheme="minorEastAsia"/>
                <w:sz w:val="24"/>
                <w:lang w:val="zh-CN"/>
              </w:rPr>
            </w:pPr>
          </w:p>
        </w:tc>
        <w:tc>
          <w:tcPr>
            <w:tcW w:w="886" w:type="pct"/>
            <w:vAlign w:val="center"/>
          </w:tcPr>
          <w:p>
            <w:pPr>
              <w:jc w:val="center"/>
              <w:rPr>
                <w:rFonts w:asciiTheme="minorEastAsia" w:hAnsiTheme="minorEastAsia" w:eastAsiaTheme="minorEastAsia"/>
                <w:sz w:val="24"/>
                <w:lang w:val="zh-CN"/>
              </w:rPr>
            </w:pPr>
          </w:p>
        </w:tc>
      </w:tr>
    </w:tbl>
    <w:p>
      <w:pPr>
        <w:spacing w:line="360" w:lineRule="auto"/>
        <w:ind w:firstLine="437"/>
        <w:outlineLvl w:val="2"/>
        <w:rPr>
          <w:rFonts w:asciiTheme="minorEastAsia" w:hAnsiTheme="minorEastAsia" w:eastAsiaTheme="minorEastAsia"/>
          <w:b/>
          <w:bCs/>
          <w:sz w:val="24"/>
          <w:lang w:val="zh-CN"/>
        </w:rPr>
      </w:pPr>
      <w:bookmarkStart w:id="96" w:name="_Toc23292"/>
      <w:bookmarkStart w:id="97" w:name="_Toc21551"/>
      <w:bookmarkStart w:id="98" w:name="_Toc21631"/>
      <w:r>
        <w:rPr>
          <w:rFonts w:hint="eastAsia" w:asciiTheme="minorEastAsia" w:hAnsiTheme="minorEastAsia" w:eastAsiaTheme="minorEastAsia"/>
          <w:b/>
          <w:bCs/>
          <w:sz w:val="24"/>
          <w:lang w:val="zh-CN"/>
        </w:rPr>
        <w:t>1.</w:t>
      </w:r>
      <w:r>
        <w:rPr>
          <w:rFonts w:asciiTheme="minorEastAsia" w:hAnsiTheme="minorEastAsia" w:eastAsiaTheme="minorEastAsia"/>
          <w:b/>
          <w:bCs/>
          <w:sz w:val="24"/>
          <w:lang w:val="zh-CN"/>
        </w:rPr>
        <w:t xml:space="preserve">3 </w:t>
      </w:r>
      <w:r>
        <w:rPr>
          <w:rFonts w:hint="eastAsia" w:asciiTheme="minorEastAsia" w:hAnsiTheme="minorEastAsia" w:eastAsiaTheme="minorEastAsia"/>
          <w:b/>
          <w:bCs/>
          <w:sz w:val="24"/>
          <w:lang w:val="zh-CN"/>
        </w:rPr>
        <w:t>价款</w:t>
      </w:r>
      <w:bookmarkEnd w:id="96"/>
      <w:bookmarkEnd w:id="97"/>
      <w:bookmarkEnd w:id="98"/>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本合同总价为</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asciiTheme="minorEastAsia" w:hAnsiTheme="minorEastAsia" w:eastAsiaTheme="minorEastAsia"/>
          <w:sz w:val="24"/>
        </w:rPr>
        <w:t>元</w:t>
      </w:r>
      <w:r>
        <w:rPr>
          <w:rFonts w:hint="eastAsia" w:asciiTheme="minorEastAsia" w:hAnsiTheme="minorEastAsia" w:eastAsiaTheme="minorEastAsia"/>
          <w:sz w:val="24"/>
        </w:rPr>
        <w:t>（大写：人民币</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元）</w:t>
      </w:r>
      <w:r>
        <w:rPr>
          <w:rFonts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asciiTheme="minorEastAsia" w:hAnsiTheme="minorEastAsia" w:eastAsiaTheme="minorEastAsia"/>
          <w:sz w:val="24"/>
        </w:rPr>
        <w:t>分项价格：</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0"/>
        <w:gridCol w:w="4732"/>
        <w:gridCol w:w="13"/>
        <w:gridCol w:w="3536"/>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vAlign w:val="center"/>
          </w:tcPr>
          <w:p>
            <w:pPr>
              <w:jc w:val="center"/>
              <w:rPr>
                <w:rFonts w:asciiTheme="minorEastAsia" w:hAnsiTheme="minorEastAsia" w:eastAsiaTheme="minorEastAsia"/>
                <w:sz w:val="24"/>
                <w:lang w:val="zh-CN"/>
              </w:rPr>
            </w:pPr>
            <w:r>
              <w:rPr>
                <w:rFonts w:asciiTheme="minorEastAsia" w:hAnsiTheme="minorEastAsia" w:eastAsiaTheme="minorEastAsia"/>
                <w:sz w:val="24"/>
                <w:lang w:val="zh-CN"/>
              </w:rPr>
              <w:t>序号</w:t>
            </w:r>
          </w:p>
        </w:tc>
        <w:tc>
          <w:tcPr>
            <w:tcW w:w="2532" w:type="pct"/>
            <w:vAlign w:val="center"/>
          </w:tcPr>
          <w:p>
            <w:pPr>
              <w:pStyle w:val="50"/>
              <w:ind w:firstLine="20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分项名称</w:t>
            </w:r>
          </w:p>
        </w:tc>
        <w:tc>
          <w:tcPr>
            <w:tcW w:w="1899" w:type="pct"/>
            <w:gridSpan w:val="2"/>
            <w:vAlign w:val="center"/>
          </w:tcPr>
          <w:p>
            <w:pPr>
              <w:pStyle w:val="50"/>
              <w:jc w:val="center"/>
              <w:rPr>
                <w:rFonts w:asciiTheme="minorEastAsia" w:hAnsiTheme="minorEastAsia" w:eastAsiaTheme="minorEastAsia"/>
                <w:sz w:val="24"/>
                <w:szCs w:val="24"/>
              </w:rPr>
            </w:pPr>
            <w:r>
              <w:rPr>
                <w:rFonts w:asciiTheme="minorEastAsia" w:hAnsiTheme="minorEastAsia" w:eastAsiaTheme="minorEastAsia"/>
                <w:sz w:val="24"/>
                <w:szCs w:val="24"/>
              </w:rPr>
              <w:t>分项价格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1</w:t>
            </w:r>
          </w:p>
        </w:tc>
        <w:tc>
          <w:tcPr>
            <w:tcW w:w="2532" w:type="pct"/>
            <w:vAlign w:val="center"/>
          </w:tcPr>
          <w:p>
            <w:pPr>
              <w:pStyle w:val="50"/>
              <w:ind w:firstLine="200"/>
              <w:jc w:val="center"/>
              <w:rPr>
                <w:rFonts w:asciiTheme="minorEastAsia" w:hAnsiTheme="minorEastAsia" w:eastAsiaTheme="minorEastAsia"/>
                <w:sz w:val="24"/>
                <w:szCs w:val="24"/>
              </w:rPr>
            </w:pPr>
          </w:p>
        </w:tc>
        <w:tc>
          <w:tcPr>
            <w:tcW w:w="1899" w:type="pct"/>
            <w:gridSpan w:val="2"/>
            <w:vAlign w:val="center"/>
          </w:tcPr>
          <w:p>
            <w:pPr>
              <w:pStyle w:val="50"/>
              <w:ind w:firstLine="20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2</w:t>
            </w:r>
          </w:p>
        </w:tc>
        <w:tc>
          <w:tcPr>
            <w:tcW w:w="2532" w:type="pct"/>
            <w:vAlign w:val="center"/>
          </w:tcPr>
          <w:p>
            <w:pPr>
              <w:pStyle w:val="50"/>
              <w:ind w:firstLine="200"/>
              <w:jc w:val="center"/>
              <w:rPr>
                <w:rFonts w:asciiTheme="minorEastAsia" w:hAnsiTheme="minorEastAsia" w:eastAsiaTheme="minorEastAsia"/>
                <w:sz w:val="24"/>
                <w:szCs w:val="24"/>
              </w:rPr>
            </w:pPr>
          </w:p>
        </w:tc>
        <w:tc>
          <w:tcPr>
            <w:tcW w:w="1899" w:type="pct"/>
            <w:gridSpan w:val="2"/>
            <w:vAlign w:val="center"/>
          </w:tcPr>
          <w:p>
            <w:pPr>
              <w:pStyle w:val="50"/>
              <w:ind w:firstLine="20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sz w:val="24"/>
                <w:lang w:val="zh-CN"/>
              </w:rPr>
            </w:pPr>
            <w:r>
              <w:rPr>
                <w:rFonts w:asciiTheme="minorEastAsia" w:hAnsiTheme="minorEastAsia" w:eastAsiaTheme="minorEastAsia"/>
                <w:sz w:val="24"/>
                <w:lang w:val="zh-CN"/>
              </w:rPr>
              <w:t>3</w:t>
            </w:r>
          </w:p>
        </w:tc>
        <w:tc>
          <w:tcPr>
            <w:tcW w:w="2532" w:type="pct"/>
            <w:vAlign w:val="center"/>
          </w:tcPr>
          <w:p>
            <w:pPr>
              <w:pStyle w:val="50"/>
              <w:ind w:firstLine="200"/>
              <w:jc w:val="center"/>
              <w:rPr>
                <w:rFonts w:asciiTheme="minorEastAsia" w:hAnsiTheme="minorEastAsia" w:eastAsiaTheme="minorEastAsia"/>
                <w:sz w:val="24"/>
                <w:szCs w:val="24"/>
              </w:rPr>
            </w:pPr>
          </w:p>
        </w:tc>
        <w:tc>
          <w:tcPr>
            <w:tcW w:w="1899" w:type="pct"/>
            <w:gridSpan w:val="2"/>
            <w:vAlign w:val="center"/>
          </w:tcPr>
          <w:p>
            <w:pPr>
              <w:pStyle w:val="50"/>
              <w:ind w:firstLine="20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Theme="minorEastAsia" w:hAnsiTheme="minorEastAsia" w:eastAsiaTheme="minorEastAsia"/>
                <w:sz w:val="24"/>
                <w:lang w:val="zh-CN"/>
              </w:rPr>
            </w:pPr>
            <w:r>
              <w:rPr>
                <w:rFonts w:hint="eastAsia" w:asciiTheme="minorEastAsia" w:hAnsiTheme="minorEastAsia" w:eastAsiaTheme="minorEastAsia"/>
                <w:sz w:val="24"/>
                <w:lang w:val="zh-CN"/>
              </w:rPr>
              <w:t>……</w:t>
            </w:r>
          </w:p>
        </w:tc>
        <w:tc>
          <w:tcPr>
            <w:tcW w:w="2532" w:type="pct"/>
            <w:vAlign w:val="center"/>
          </w:tcPr>
          <w:p>
            <w:pPr>
              <w:pStyle w:val="50"/>
              <w:ind w:firstLine="200"/>
              <w:jc w:val="center"/>
              <w:rPr>
                <w:rFonts w:asciiTheme="minorEastAsia" w:hAnsiTheme="minorEastAsia" w:eastAsiaTheme="minorEastAsia"/>
                <w:sz w:val="24"/>
                <w:szCs w:val="24"/>
              </w:rPr>
            </w:pPr>
          </w:p>
        </w:tc>
        <w:tc>
          <w:tcPr>
            <w:tcW w:w="1899" w:type="pct"/>
            <w:gridSpan w:val="2"/>
            <w:vAlign w:val="center"/>
          </w:tcPr>
          <w:p>
            <w:pPr>
              <w:pStyle w:val="50"/>
              <w:ind w:firstLine="200"/>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101" w:type="pct"/>
            <w:gridSpan w:val="3"/>
            <w:vAlign w:val="center"/>
          </w:tcPr>
          <w:p>
            <w:pPr>
              <w:pStyle w:val="50"/>
              <w:ind w:firstLine="20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总价</w:t>
            </w:r>
          </w:p>
        </w:tc>
        <w:tc>
          <w:tcPr>
            <w:tcW w:w="1899" w:type="pct"/>
            <w:gridSpan w:val="2"/>
            <w:vAlign w:val="center"/>
          </w:tcPr>
          <w:p>
            <w:pPr>
              <w:pStyle w:val="50"/>
              <w:ind w:firstLine="200"/>
              <w:jc w:val="center"/>
              <w:rPr>
                <w:rFonts w:asciiTheme="minorEastAsia" w:hAnsiTheme="minorEastAsia" w:eastAsiaTheme="minorEastAsia"/>
                <w:sz w:val="24"/>
                <w:szCs w:val="24"/>
              </w:rPr>
            </w:pPr>
          </w:p>
        </w:tc>
      </w:tr>
    </w:tbl>
    <w:p>
      <w:pPr>
        <w:spacing w:line="360" w:lineRule="auto"/>
        <w:ind w:firstLine="437"/>
        <w:outlineLvl w:val="2"/>
        <w:rPr>
          <w:rFonts w:asciiTheme="minorEastAsia" w:hAnsiTheme="minorEastAsia" w:eastAsiaTheme="minorEastAsia"/>
          <w:b/>
          <w:bCs/>
          <w:sz w:val="24"/>
          <w:lang w:val="zh-CN"/>
        </w:rPr>
      </w:pPr>
      <w:bookmarkStart w:id="99" w:name="_Toc22618"/>
      <w:bookmarkStart w:id="100" w:name="_Toc10340"/>
      <w:bookmarkStart w:id="101" w:name="_Toc1814"/>
      <w:r>
        <w:rPr>
          <w:rFonts w:hint="eastAsia" w:asciiTheme="minorEastAsia" w:hAnsiTheme="minorEastAsia" w:eastAsiaTheme="minorEastAsia"/>
          <w:b/>
          <w:bCs/>
          <w:sz w:val="24"/>
          <w:lang w:val="zh-CN"/>
        </w:rPr>
        <w:t>1.</w:t>
      </w:r>
      <w:r>
        <w:rPr>
          <w:rFonts w:asciiTheme="minorEastAsia" w:hAnsiTheme="minorEastAsia" w:eastAsiaTheme="minorEastAsia"/>
          <w:b/>
          <w:bCs/>
          <w:sz w:val="24"/>
          <w:lang w:val="zh-CN"/>
        </w:rPr>
        <w:t>4 付款方式和发票开具方式</w:t>
      </w:r>
      <w:bookmarkEnd w:id="99"/>
      <w:bookmarkEnd w:id="100"/>
      <w:bookmarkEnd w:id="101"/>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1.4.1</w:t>
      </w:r>
      <w:r>
        <w:rPr>
          <w:rFonts w:asciiTheme="minorEastAsia" w:hAnsiTheme="minorEastAsia" w:eastAsiaTheme="minorEastAsia"/>
          <w:sz w:val="24"/>
        </w:rPr>
        <w:t>付款方式：</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1.4.2发票开具方式：</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102" w:name="_Toc2846"/>
      <w:bookmarkStart w:id="103" w:name="_Toc32071"/>
      <w:bookmarkStart w:id="104" w:name="_Toc19304"/>
      <w:r>
        <w:rPr>
          <w:rFonts w:hint="eastAsia" w:asciiTheme="minorEastAsia" w:hAnsiTheme="minorEastAsia" w:eastAsiaTheme="minorEastAsia"/>
          <w:b/>
          <w:bCs/>
          <w:sz w:val="24"/>
          <w:lang w:val="zh-CN"/>
        </w:rPr>
        <w:t>1.</w:t>
      </w:r>
      <w:r>
        <w:rPr>
          <w:rFonts w:asciiTheme="minorEastAsia" w:hAnsiTheme="minorEastAsia" w:eastAsiaTheme="minorEastAsia"/>
          <w:b/>
          <w:bCs/>
          <w:sz w:val="24"/>
          <w:lang w:val="zh-CN"/>
        </w:rPr>
        <w:t>5 货物交付期限</w:t>
      </w:r>
      <w:r>
        <w:rPr>
          <w:rFonts w:hint="eastAsia" w:asciiTheme="minorEastAsia" w:hAnsiTheme="minorEastAsia" w:eastAsiaTheme="minorEastAsia"/>
          <w:b/>
          <w:bCs/>
          <w:sz w:val="24"/>
          <w:lang w:val="zh-CN"/>
        </w:rPr>
        <w:t>、地点和方式</w:t>
      </w:r>
      <w:bookmarkEnd w:id="102"/>
      <w:bookmarkEnd w:id="103"/>
      <w:bookmarkEnd w:id="104"/>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1.5.1交付期限</w:t>
      </w:r>
      <w:r>
        <w:rPr>
          <w:rFonts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1.5.2交付地点</w:t>
      </w:r>
      <w:r>
        <w:rPr>
          <w:rFonts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1.5.3交付方式：</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105" w:name="_Toc19554"/>
      <w:bookmarkStart w:id="106" w:name="_Toc27250"/>
      <w:bookmarkStart w:id="107" w:name="_Toc21423"/>
      <w:r>
        <w:rPr>
          <w:rFonts w:hint="eastAsia" w:asciiTheme="minorEastAsia" w:hAnsiTheme="minorEastAsia" w:eastAsiaTheme="minorEastAsia"/>
          <w:b/>
          <w:bCs/>
          <w:sz w:val="24"/>
          <w:lang w:val="zh-CN"/>
        </w:rPr>
        <w:t>1.6 违约责任</w:t>
      </w:r>
      <w:bookmarkEnd w:id="105"/>
      <w:bookmarkEnd w:id="106"/>
      <w:bookmarkEnd w:id="107"/>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1.6.1</w:t>
      </w:r>
      <w:r>
        <w:rPr>
          <w:rFonts w:asciiTheme="minorEastAsia" w:hAnsiTheme="minorEastAsia" w:eastAsiaTheme="minorEastAsia"/>
          <w:sz w:val="24"/>
        </w:rPr>
        <w:t>除不可抗力外，如果乙方没有按照本合同约定的期限</w:t>
      </w:r>
      <w:r>
        <w:rPr>
          <w:rFonts w:hint="eastAsia" w:asciiTheme="minorEastAsia" w:hAnsiTheme="minorEastAsia" w:eastAsiaTheme="minorEastAsia"/>
          <w:sz w:val="24"/>
        </w:rPr>
        <w:t>、</w:t>
      </w:r>
      <w:r>
        <w:rPr>
          <w:rFonts w:asciiTheme="minorEastAsia" w:hAnsiTheme="minorEastAsia" w:eastAsiaTheme="minorEastAsia"/>
          <w:sz w:val="24"/>
        </w:rPr>
        <w:t>地点和方式交付货物，那么甲方可要求乙方支付违约金</w:t>
      </w:r>
      <w:r>
        <w:rPr>
          <w:rFonts w:hint="eastAsia" w:asciiTheme="minorEastAsia" w:hAnsiTheme="minorEastAsia" w:eastAsiaTheme="minorEastAsia"/>
          <w:sz w:val="24"/>
        </w:rPr>
        <w:t>，</w:t>
      </w:r>
      <w:r>
        <w:rPr>
          <w:rFonts w:asciiTheme="minorEastAsia" w:hAnsiTheme="minorEastAsia" w:eastAsiaTheme="minorEastAsia"/>
          <w:sz w:val="24"/>
        </w:rPr>
        <w:t>违约金按每迟延交付货物一日的应交付而未交付货物价格的</w:t>
      </w:r>
      <w:r>
        <w:rPr>
          <w:rFonts w:hint="eastAsia" w:asciiTheme="minorEastAsia" w:hAnsiTheme="minorEastAsia" w:eastAsiaTheme="minorEastAsia"/>
          <w:sz w:val="24"/>
          <w:u w:val="single"/>
        </w:rPr>
        <w:t xml:space="preserve">    </w:t>
      </w:r>
      <w:r>
        <w:rPr>
          <w:rFonts w:asciiTheme="minorEastAsia" w:hAnsiTheme="minorEastAsia" w:eastAsiaTheme="minorEastAsia"/>
          <w:sz w:val="24"/>
        </w:rPr>
        <w:t>%计算</w:t>
      </w:r>
      <w:r>
        <w:rPr>
          <w:rFonts w:hint="eastAsia" w:asciiTheme="minorEastAsia" w:hAnsiTheme="minorEastAsia" w:eastAsiaTheme="minorEastAsia"/>
          <w:sz w:val="24"/>
        </w:rPr>
        <w:t>，</w:t>
      </w:r>
      <w:r>
        <w:rPr>
          <w:rFonts w:asciiTheme="minorEastAsia" w:hAnsiTheme="minorEastAsia" w:eastAsiaTheme="minorEastAsia"/>
          <w:sz w:val="24"/>
        </w:rPr>
        <w:t>最高限额为</w:t>
      </w:r>
      <w:r>
        <w:rPr>
          <w:rFonts w:hint="eastAsia" w:asciiTheme="minorEastAsia" w:hAnsiTheme="minorEastAsia" w:eastAsiaTheme="minorEastAsia"/>
          <w:sz w:val="24"/>
        </w:rPr>
        <w:t>本</w:t>
      </w:r>
      <w:r>
        <w:rPr>
          <w:rFonts w:asciiTheme="minorEastAsia" w:hAnsiTheme="minorEastAsia" w:eastAsiaTheme="minorEastAsia"/>
          <w:sz w:val="24"/>
        </w:rPr>
        <w:t>合同总价的</w:t>
      </w:r>
      <w:r>
        <w:rPr>
          <w:rFonts w:hint="eastAsia" w:asciiTheme="minorEastAsia" w:hAnsiTheme="minorEastAsia" w:eastAsiaTheme="minorEastAsia"/>
          <w:sz w:val="24"/>
          <w:u w:val="single"/>
        </w:rPr>
        <w:t xml:space="preserve">     </w:t>
      </w:r>
      <w:r>
        <w:rPr>
          <w:rFonts w:asciiTheme="minorEastAsia" w:hAnsiTheme="minorEastAsia" w:eastAsiaTheme="minorEastAsia"/>
          <w:sz w:val="24"/>
        </w:rPr>
        <w:t>%</w:t>
      </w:r>
      <w:r>
        <w:rPr>
          <w:rFonts w:hint="eastAsia" w:asciiTheme="minorEastAsia" w:hAnsiTheme="minorEastAsia" w:eastAsiaTheme="minorEastAsia"/>
          <w:sz w:val="24"/>
        </w:rPr>
        <w:t>；</w:t>
      </w:r>
      <w:r>
        <w:rPr>
          <w:rFonts w:asciiTheme="minorEastAsia" w:hAnsiTheme="minorEastAsia" w:eastAsiaTheme="minorEastAsia"/>
          <w:sz w:val="24"/>
        </w:rPr>
        <w:t>迟延交付货物的违约金计算数额达到前述最高限额之日起</w:t>
      </w:r>
      <w:r>
        <w:rPr>
          <w:rFonts w:hint="eastAsia" w:asciiTheme="minorEastAsia" w:hAnsiTheme="minorEastAsia" w:eastAsiaTheme="minorEastAsia"/>
          <w:sz w:val="24"/>
        </w:rPr>
        <w:t>，</w:t>
      </w:r>
      <w:r>
        <w:rPr>
          <w:rFonts w:asciiTheme="minorEastAsia" w:hAnsiTheme="minorEastAsia" w:eastAsiaTheme="minorEastAsia"/>
          <w:sz w:val="24"/>
        </w:rPr>
        <w:t>甲方有权在要求乙方支付违约金的同时</w:t>
      </w:r>
      <w:r>
        <w:rPr>
          <w:rFonts w:hint="eastAsia" w:asciiTheme="minorEastAsia" w:hAnsiTheme="minorEastAsia" w:eastAsiaTheme="minorEastAsia"/>
          <w:sz w:val="24"/>
        </w:rPr>
        <w:t>，书面通知乙方</w:t>
      </w:r>
      <w:r>
        <w:rPr>
          <w:rFonts w:asciiTheme="minorEastAsia" w:hAnsiTheme="minorEastAsia" w:eastAsiaTheme="minorEastAsia"/>
          <w:sz w:val="24"/>
        </w:rPr>
        <w:t>解除本合同</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1.6.2</w:t>
      </w:r>
      <w:r>
        <w:rPr>
          <w:rFonts w:asciiTheme="minorEastAsia" w:hAnsiTheme="minorEastAsia" w:eastAsiaTheme="minorEastAsia"/>
          <w:sz w:val="24"/>
        </w:rPr>
        <w:t>除不可抗力外，如果甲方没有按照本合同约定的付款方式付款，那么乙方可要求甲方支付违约金</w:t>
      </w:r>
      <w:r>
        <w:rPr>
          <w:rFonts w:hint="eastAsia" w:asciiTheme="minorEastAsia" w:hAnsiTheme="minorEastAsia" w:eastAsiaTheme="minorEastAsia"/>
          <w:sz w:val="24"/>
        </w:rPr>
        <w:t>，</w:t>
      </w:r>
      <w:r>
        <w:rPr>
          <w:rFonts w:asciiTheme="minorEastAsia" w:hAnsiTheme="minorEastAsia" w:eastAsiaTheme="minorEastAsia"/>
          <w:sz w:val="24"/>
        </w:rPr>
        <w:t>违约金按每迟延</w:t>
      </w:r>
      <w:r>
        <w:rPr>
          <w:rFonts w:hint="eastAsia" w:asciiTheme="minorEastAsia" w:hAnsiTheme="minorEastAsia" w:eastAsiaTheme="minorEastAsia"/>
          <w:sz w:val="24"/>
        </w:rPr>
        <w:t>付款</w:t>
      </w:r>
      <w:r>
        <w:rPr>
          <w:rFonts w:asciiTheme="minorEastAsia" w:hAnsiTheme="minorEastAsia" w:eastAsiaTheme="minorEastAsia"/>
          <w:sz w:val="24"/>
        </w:rPr>
        <w:t>一日的应付而未付款的</w:t>
      </w:r>
      <w:r>
        <w:rPr>
          <w:rFonts w:hint="eastAsia" w:asciiTheme="minorEastAsia" w:hAnsiTheme="minorEastAsia" w:eastAsiaTheme="minorEastAsia"/>
          <w:sz w:val="24"/>
          <w:u w:val="single"/>
        </w:rPr>
        <w:t xml:space="preserve">    </w:t>
      </w:r>
      <w:r>
        <w:rPr>
          <w:rFonts w:asciiTheme="minorEastAsia" w:hAnsiTheme="minorEastAsia" w:eastAsiaTheme="minorEastAsia"/>
          <w:sz w:val="24"/>
        </w:rPr>
        <w:t>%计算</w:t>
      </w:r>
      <w:r>
        <w:rPr>
          <w:rFonts w:hint="eastAsia" w:asciiTheme="minorEastAsia" w:hAnsiTheme="minorEastAsia" w:eastAsiaTheme="minorEastAsia"/>
          <w:sz w:val="24"/>
        </w:rPr>
        <w:t>，</w:t>
      </w:r>
      <w:r>
        <w:rPr>
          <w:rFonts w:asciiTheme="minorEastAsia" w:hAnsiTheme="minorEastAsia" w:eastAsiaTheme="minorEastAsia"/>
          <w:sz w:val="24"/>
        </w:rPr>
        <w:t>最高限额为</w:t>
      </w:r>
      <w:r>
        <w:rPr>
          <w:rFonts w:hint="eastAsia" w:asciiTheme="minorEastAsia" w:hAnsiTheme="minorEastAsia" w:eastAsiaTheme="minorEastAsia"/>
          <w:sz w:val="24"/>
        </w:rPr>
        <w:t>本</w:t>
      </w:r>
      <w:r>
        <w:rPr>
          <w:rFonts w:asciiTheme="minorEastAsia" w:hAnsiTheme="minorEastAsia" w:eastAsiaTheme="minorEastAsia"/>
          <w:sz w:val="24"/>
        </w:rPr>
        <w:t>合同总价的</w:t>
      </w:r>
      <w:r>
        <w:rPr>
          <w:rFonts w:hint="eastAsia" w:asciiTheme="minorEastAsia" w:hAnsiTheme="minorEastAsia" w:eastAsiaTheme="minorEastAsia"/>
          <w:sz w:val="24"/>
          <w:u w:val="single"/>
        </w:rPr>
        <w:t xml:space="preserve">     </w:t>
      </w:r>
      <w:r>
        <w:rPr>
          <w:rFonts w:asciiTheme="minorEastAsia" w:hAnsiTheme="minorEastAsia" w:eastAsiaTheme="minorEastAsia"/>
          <w:sz w:val="24"/>
        </w:rPr>
        <w:t>%</w:t>
      </w:r>
      <w:r>
        <w:rPr>
          <w:rFonts w:hint="eastAsia" w:asciiTheme="minorEastAsia" w:hAnsiTheme="minorEastAsia" w:eastAsiaTheme="minorEastAsia"/>
          <w:sz w:val="24"/>
        </w:rPr>
        <w:t>；</w:t>
      </w:r>
      <w:r>
        <w:rPr>
          <w:rFonts w:asciiTheme="minorEastAsia" w:hAnsiTheme="minorEastAsia" w:eastAsiaTheme="minorEastAsia"/>
          <w:sz w:val="24"/>
        </w:rPr>
        <w:t>迟延</w:t>
      </w:r>
      <w:r>
        <w:rPr>
          <w:rFonts w:hint="eastAsia" w:asciiTheme="minorEastAsia" w:hAnsiTheme="minorEastAsia" w:eastAsiaTheme="minorEastAsia"/>
          <w:sz w:val="24"/>
        </w:rPr>
        <w:t>付款</w:t>
      </w:r>
      <w:r>
        <w:rPr>
          <w:rFonts w:asciiTheme="minorEastAsia" w:hAnsiTheme="minorEastAsia" w:eastAsiaTheme="minorEastAsia"/>
          <w:sz w:val="24"/>
        </w:rPr>
        <w:t>的违约金计算数额达到前述最高限额之日起</w:t>
      </w:r>
      <w:r>
        <w:rPr>
          <w:rFonts w:hint="eastAsia" w:asciiTheme="minorEastAsia" w:hAnsiTheme="minorEastAsia" w:eastAsiaTheme="minorEastAsia"/>
          <w:sz w:val="24"/>
        </w:rPr>
        <w:t>，乙</w:t>
      </w:r>
      <w:r>
        <w:rPr>
          <w:rFonts w:asciiTheme="minorEastAsia" w:hAnsiTheme="minorEastAsia" w:eastAsiaTheme="minorEastAsia"/>
          <w:sz w:val="24"/>
        </w:rPr>
        <w:t>方有权在要求甲方支付违约金的同时</w:t>
      </w:r>
      <w:r>
        <w:rPr>
          <w:rFonts w:hint="eastAsia" w:asciiTheme="minorEastAsia" w:hAnsiTheme="minorEastAsia" w:eastAsiaTheme="minorEastAsia"/>
          <w:sz w:val="24"/>
        </w:rPr>
        <w:t>，书面通知甲方</w:t>
      </w:r>
      <w:r>
        <w:rPr>
          <w:rFonts w:asciiTheme="minorEastAsia" w:hAnsiTheme="minorEastAsia" w:eastAsiaTheme="minorEastAsia"/>
          <w:sz w:val="24"/>
        </w:rPr>
        <w:t>解除本合同</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1.6.6如果出现政府采购监督管理部门在处理投诉事项期间，书面通知甲方暂停采购活动的情形，或者询问或质疑事项可能影响成交结果的，导致甲方中止履行合同的情形，均不视为甲方违约。</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1.6.7</w:t>
      </w:r>
      <w:r>
        <w:rPr>
          <w:rFonts w:cs="Times New Roman" w:asciiTheme="minorEastAsia" w:hAnsiTheme="minorEastAsia" w:eastAsiaTheme="minorEastAsia"/>
          <w:color w:val="000000" w:themeColor="text1"/>
          <w:sz w:val="24"/>
          <w:szCs w:val="24"/>
          <w:highlight w:val="none"/>
          <w14:textFill>
            <w14:solidFill>
              <w14:schemeClr w14:val="tx1"/>
            </w14:solidFill>
          </w14:textFill>
        </w:rPr>
        <w:t>因甲方未按合同约定支付价款、未按合同约定受领标的物、擅自解除合同</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cs="Times New Roman" w:asciiTheme="minorEastAsia" w:hAnsiTheme="minorEastAsia" w:eastAsiaTheme="minorEastAsia"/>
          <w:color w:val="000000" w:themeColor="text1"/>
          <w:sz w:val="24"/>
          <w:szCs w:val="24"/>
          <w:highlight w:val="none"/>
          <w14:textFill>
            <w14:solidFill>
              <w14:schemeClr w14:val="tx1"/>
            </w14:solidFill>
          </w14:textFill>
        </w:rPr>
        <w:t>导致乙方遭受的直接损失，乙方可向甲方申请赔偿，赔偿金额由双方协商一致；</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针对因政策变化等原因不能签订合同或解除合同时，造成乙方合法利益受损的情形，可以给予乙方合理补偿，补偿金额不得超过乙方的直接损失。</w:t>
      </w:r>
    </w:p>
    <w:p>
      <w:pPr>
        <w:spacing w:line="360" w:lineRule="auto"/>
        <w:ind w:firstLine="437"/>
        <w:outlineLvl w:val="2"/>
        <w:rPr>
          <w:rFonts w:asciiTheme="minorEastAsia" w:hAnsiTheme="minorEastAsia" w:eastAsiaTheme="minorEastAsia"/>
          <w:b/>
          <w:bCs/>
          <w:sz w:val="24"/>
          <w:lang w:val="zh-CN"/>
        </w:rPr>
      </w:pPr>
      <w:bookmarkStart w:id="108" w:name="_Toc16021"/>
      <w:bookmarkStart w:id="109" w:name="_Toc28375"/>
      <w:bookmarkStart w:id="110" w:name="_Toc15583"/>
      <w:r>
        <w:rPr>
          <w:rFonts w:hint="eastAsia" w:asciiTheme="minorEastAsia" w:hAnsiTheme="minorEastAsia" w:eastAsiaTheme="minorEastAsia"/>
          <w:b/>
          <w:bCs/>
          <w:sz w:val="24"/>
          <w:lang w:val="zh-CN"/>
        </w:rPr>
        <w:t>1.7</w:t>
      </w:r>
      <w:r>
        <w:rPr>
          <w:rFonts w:asciiTheme="minorEastAsia" w:hAnsiTheme="minorEastAsia" w:eastAsiaTheme="minorEastAsia"/>
          <w:b/>
          <w:bCs/>
          <w:sz w:val="24"/>
          <w:lang w:val="zh-CN"/>
        </w:rPr>
        <w:t xml:space="preserve"> </w:t>
      </w:r>
      <w:r>
        <w:rPr>
          <w:rFonts w:hint="eastAsia" w:asciiTheme="minorEastAsia" w:hAnsiTheme="minorEastAsia" w:eastAsiaTheme="minorEastAsia"/>
          <w:b/>
          <w:bCs/>
          <w:sz w:val="24"/>
          <w:lang w:val="zh-CN"/>
        </w:rPr>
        <w:t>合同</w:t>
      </w:r>
      <w:r>
        <w:rPr>
          <w:rFonts w:asciiTheme="minorEastAsia" w:hAnsiTheme="minorEastAsia" w:eastAsiaTheme="minorEastAsia"/>
          <w:b/>
          <w:bCs/>
          <w:sz w:val="24"/>
          <w:lang w:val="zh-CN"/>
        </w:rPr>
        <w:t>争议的解决</w:t>
      </w:r>
      <w:bookmarkEnd w:id="108"/>
      <w:bookmarkEnd w:id="109"/>
      <w:bookmarkEnd w:id="110"/>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本合</w:t>
      </w:r>
      <w:r>
        <w:rPr>
          <w:rFonts w:asciiTheme="minorEastAsia" w:hAnsiTheme="minorEastAsia" w:eastAsiaTheme="minorEastAsia"/>
          <w:sz w:val="24"/>
        </w:rPr>
        <w:t>同履行过程中发生的任何争议，双方当事人均可</w:t>
      </w:r>
      <w:r>
        <w:rPr>
          <w:rFonts w:hint="eastAsia" w:asciiTheme="minorEastAsia" w:hAnsiTheme="minorEastAsia" w:eastAsiaTheme="minorEastAsia"/>
          <w:sz w:val="24"/>
        </w:rPr>
        <w:t>通过和解或者调解解决；不愿和解、调解或者和解、调解不成的，可以选择下列第</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种方式解决：</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1.7.1将争议提交</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仲裁委员会依申请仲裁时其现行有效的仲裁规则裁决；</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1.7.2向</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人民法院起诉。</w:t>
      </w:r>
    </w:p>
    <w:p>
      <w:pPr>
        <w:spacing w:line="360" w:lineRule="auto"/>
        <w:ind w:firstLine="437"/>
        <w:outlineLvl w:val="2"/>
        <w:rPr>
          <w:rFonts w:asciiTheme="minorEastAsia" w:hAnsiTheme="minorEastAsia" w:eastAsiaTheme="minorEastAsia"/>
          <w:b/>
          <w:bCs/>
          <w:sz w:val="24"/>
          <w:lang w:val="zh-CN"/>
        </w:rPr>
      </w:pPr>
      <w:bookmarkStart w:id="111" w:name="_Toc15322"/>
      <w:bookmarkStart w:id="112" w:name="_Toc11173"/>
      <w:bookmarkStart w:id="113" w:name="_Toc7245"/>
      <w:r>
        <w:rPr>
          <w:rFonts w:hint="eastAsia" w:asciiTheme="minorEastAsia" w:hAnsiTheme="minorEastAsia" w:eastAsiaTheme="minorEastAsia"/>
          <w:b/>
          <w:bCs/>
          <w:sz w:val="24"/>
          <w:lang w:val="zh-CN"/>
        </w:rPr>
        <w:t>1.8</w:t>
      </w:r>
      <w:r>
        <w:rPr>
          <w:rFonts w:asciiTheme="minorEastAsia" w:hAnsiTheme="minorEastAsia" w:eastAsiaTheme="minorEastAsia"/>
          <w:b/>
          <w:bCs/>
          <w:sz w:val="24"/>
          <w:lang w:val="zh-CN"/>
        </w:rPr>
        <w:t xml:space="preserve"> 合同生效</w:t>
      </w:r>
      <w:bookmarkEnd w:id="111"/>
      <w:bookmarkEnd w:id="112"/>
      <w:bookmarkEnd w:id="113"/>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本合同自</w:t>
      </w:r>
      <w:r>
        <w:rPr>
          <w:rFonts w:hint="eastAsia" w:asciiTheme="minorEastAsia" w:hAnsiTheme="minorEastAsia" w:eastAsiaTheme="minorEastAsia"/>
          <w:sz w:val="24"/>
        </w:rPr>
        <w:t>双方当事人盖章时</w:t>
      </w:r>
      <w:r>
        <w:rPr>
          <w:rFonts w:asciiTheme="minorEastAsia" w:hAnsiTheme="minorEastAsia" w:eastAsiaTheme="minorEastAsia"/>
          <w:sz w:val="24"/>
        </w:rPr>
        <w:t>生效。</w:t>
      </w:r>
    </w:p>
    <w:p>
      <w:pPr>
        <w:autoSpaceDE w:val="0"/>
        <w:autoSpaceDN w:val="0"/>
        <w:adjustRightInd w:val="0"/>
        <w:spacing w:line="560" w:lineRule="exact"/>
        <w:rPr>
          <w:rFonts w:asciiTheme="minorEastAsia" w:hAnsiTheme="minorEastAsia" w:eastAsiaTheme="minorEastAsia"/>
          <w:sz w:val="24"/>
          <w:lang w:val="zh-CN"/>
        </w:rPr>
      </w:pPr>
    </w:p>
    <w:p>
      <w:pPr>
        <w:autoSpaceDE w:val="0"/>
        <w:autoSpaceDN w:val="0"/>
        <w:adjustRightInd w:val="0"/>
        <w:spacing w:line="560" w:lineRule="exact"/>
        <w:rPr>
          <w:rFonts w:asciiTheme="minorEastAsia" w:hAnsiTheme="minorEastAsia" w:eastAsiaTheme="minorEastAsia"/>
          <w:sz w:val="24"/>
          <w:lang w:val="zh-CN"/>
        </w:rPr>
      </w:pPr>
    </w:p>
    <w:p>
      <w:pPr>
        <w:autoSpaceDE w:val="0"/>
        <w:autoSpaceDN w:val="0"/>
        <w:adjustRightInd w:val="0"/>
        <w:spacing w:line="560" w:lineRule="exact"/>
        <w:rPr>
          <w:rFonts w:cs="Times New Roman" w:asciiTheme="minorEastAsia" w:hAnsiTheme="minorEastAsia" w:eastAsiaTheme="minorEastAsia"/>
          <w:bCs/>
          <w:sz w:val="24"/>
          <w:szCs w:val="24"/>
          <w:lang w:val="zh-CN"/>
        </w:rPr>
      </w:pPr>
      <w:bookmarkStart w:id="114" w:name="_Toc331685783"/>
      <w:r>
        <w:rPr>
          <w:rFonts w:hint="eastAsia" w:cs="Times New Roman" w:asciiTheme="minorEastAsia" w:hAnsiTheme="minorEastAsia" w:eastAsiaTheme="minorEastAsia"/>
          <w:bCs/>
          <w:sz w:val="24"/>
          <w:szCs w:val="24"/>
          <w:lang w:val="zh-CN"/>
        </w:rPr>
        <w:t xml:space="preserve">甲 </w:t>
      </w:r>
      <w:r>
        <w:rPr>
          <w:rFonts w:cs="Times New Roman" w:asciiTheme="minorEastAsia" w:hAnsiTheme="minorEastAsia" w:eastAsiaTheme="minorEastAsia"/>
          <w:bCs/>
          <w:sz w:val="24"/>
          <w:szCs w:val="24"/>
          <w:lang w:val="zh-CN"/>
        </w:rPr>
        <w:t xml:space="preserve">   </w:t>
      </w:r>
      <w:r>
        <w:rPr>
          <w:rFonts w:hint="eastAsia" w:cs="Times New Roman" w:asciiTheme="minorEastAsia" w:hAnsiTheme="minorEastAsia" w:eastAsiaTheme="minorEastAsia"/>
          <w:bCs/>
          <w:sz w:val="24"/>
          <w:szCs w:val="24"/>
          <w:lang w:val="zh-CN"/>
        </w:rPr>
        <w:t>方：</w:t>
      </w:r>
      <w:r>
        <w:rPr>
          <w:rFonts w:hint="eastAsia" w:cs="Times New Roman" w:asciiTheme="minorEastAsia" w:hAnsiTheme="minorEastAsia" w:eastAsiaTheme="minorEastAsia"/>
          <w:bCs/>
          <w:sz w:val="24"/>
          <w:szCs w:val="24"/>
          <w:u w:val="single"/>
          <w:lang w:val="zh-CN"/>
        </w:rPr>
        <w:t xml:space="preserve">    （单位盖章）     </w:t>
      </w:r>
      <w:r>
        <w:rPr>
          <w:rFonts w:hint="eastAsia" w:cs="Times New Roman" w:asciiTheme="minorEastAsia" w:hAnsiTheme="minorEastAsia" w:eastAsiaTheme="minorEastAsia"/>
          <w:bCs/>
          <w:sz w:val="24"/>
          <w:szCs w:val="24"/>
          <w:lang w:val="zh-CN"/>
        </w:rPr>
        <w:t xml:space="preserve">          乙方：</w:t>
      </w:r>
      <w:r>
        <w:rPr>
          <w:rFonts w:hint="eastAsia" w:cs="Times New Roman" w:asciiTheme="minorEastAsia" w:hAnsiTheme="minorEastAsia" w:eastAsiaTheme="minorEastAsia"/>
          <w:bCs/>
          <w:sz w:val="24"/>
          <w:szCs w:val="24"/>
          <w:u w:val="single"/>
          <w:lang w:val="zh-CN"/>
        </w:rPr>
        <w:t xml:space="preserve">    （单位盖章）     </w:t>
      </w:r>
    </w:p>
    <w:p>
      <w:pPr>
        <w:autoSpaceDE w:val="0"/>
        <w:autoSpaceDN w:val="0"/>
        <w:adjustRightInd w:val="0"/>
        <w:spacing w:line="560" w:lineRule="exact"/>
        <w:rPr>
          <w:rFonts w:cs="Times New Roman" w:asciiTheme="minorEastAsia" w:hAnsiTheme="minorEastAsia" w:eastAsiaTheme="minorEastAsia"/>
          <w:sz w:val="24"/>
          <w:szCs w:val="24"/>
          <w:lang w:val="zh-CN"/>
        </w:rPr>
      </w:pPr>
      <w:r>
        <w:rPr>
          <w:rFonts w:hint="eastAsia" w:cs="Times New Roman" w:asciiTheme="minorEastAsia" w:hAnsiTheme="minorEastAsia" w:eastAsiaTheme="minorEastAsia"/>
          <w:sz w:val="24"/>
          <w:szCs w:val="24"/>
          <w:lang w:val="zh-CN"/>
        </w:rPr>
        <w:t xml:space="preserve">法定代表人                             </w:t>
      </w:r>
      <w:r>
        <w:rPr>
          <w:rFonts w:cs="Times New Roman" w:asciiTheme="minorEastAsia" w:hAnsiTheme="minorEastAsia" w:eastAsiaTheme="minorEastAsia"/>
          <w:sz w:val="24"/>
          <w:szCs w:val="24"/>
          <w:lang w:val="zh-CN"/>
        </w:rPr>
        <w:t xml:space="preserve">  </w:t>
      </w:r>
      <w:r>
        <w:rPr>
          <w:rFonts w:hint="eastAsia" w:cs="Times New Roman" w:asciiTheme="minorEastAsia" w:hAnsiTheme="minorEastAsia" w:eastAsiaTheme="minorEastAsia"/>
          <w:sz w:val="24"/>
          <w:szCs w:val="24"/>
          <w:lang w:val="zh-CN"/>
        </w:rPr>
        <w:t>法定代表人</w:t>
      </w:r>
    </w:p>
    <w:p>
      <w:pPr>
        <w:autoSpaceDE w:val="0"/>
        <w:autoSpaceDN w:val="0"/>
        <w:adjustRightInd w:val="0"/>
        <w:spacing w:line="560" w:lineRule="exact"/>
        <w:rPr>
          <w:rFonts w:cs="Times New Roman" w:asciiTheme="minorEastAsia" w:hAnsiTheme="minorEastAsia" w:eastAsiaTheme="minorEastAsia"/>
          <w:sz w:val="24"/>
          <w:szCs w:val="24"/>
          <w:lang w:val="zh-CN"/>
        </w:rPr>
      </w:pPr>
      <w:r>
        <w:rPr>
          <w:rFonts w:hint="eastAsia" w:cs="Times New Roman" w:asciiTheme="minorEastAsia" w:hAnsiTheme="minorEastAsia" w:eastAsiaTheme="minorEastAsia"/>
          <w:sz w:val="24"/>
          <w:szCs w:val="24"/>
          <w:lang w:val="zh-CN"/>
        </w:rPr>
        <w:t>或授权代表（签字）：                      或授权代表（签字）：</w:t>
      </w:r>
    </w:p>
    <w:p>
      <w:pPr>
        <w:widowControl/>
        <w:spacing w:line="560" w:lineRule="exact"/>
        <w:jc w:val="left"/>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时间：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月</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日               时间：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月</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日</w:t>
      </w:r>
    </w:p>
    <w:p>
      <w:pPr>
        <w:widowControl/>
        <w:spacing w:line="560" w:lineRule="exact"/>
        <w:jc w:val="left"/>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 xml:space="preserve"> </w:t>
      </w:r>
      <w:r>
        <w:rPr>
          <w:rFonts w:hint="eastAsia" w:cs="Times New Roman" w:asciiTheme="minorEastAsia" w:hAnsiTheme="minorEastAsia" w:eastAsiaTheme="minorEastAsia"/>
          <w:bCs/>
          <w:sz w:val="24"/>
          <w:szCs w:val="24"/>
          <w:lang w:val="en-US" w:eastAsia="zh-CN"/>
        </w:rPr>
        <w:t xml:space="preserve">                                       </w:t>
      </w:r>
      <w:r>
        <w:rPr>
          <w:rFonts w:hint="eastAsia" w:cs="Times New Roman" w:asciiTheme="minorEastAsia" w:hAnsiTheme="minorEastAsia" w:eastAsiaTheme="minorEastAsia"/>
          <w:bCs/>
          <w:sz w:val="24"/>
          <w:szCs w:val="24"/>
        </w:rPr>
        <w:t>乙方账户信息</w:t>
      </w:r>
    </w:p>
    <w:p>
      <w:pPr>
        <w:widowControl/>
        <w:spacing w:line="560" w:lineRule="exact"/>
        <w:jc w:val="left"/>
        <w:rPr>
          <w:rFonts w:hint="eastAsia" w:cs="Times New Roman" w:asciiTheme="minorEastAsia" w:hAnsiTheme="minorEastAsia" w:eastAsiaTheme="minorEastAsia"/>
          <w:bCs/>
          <w:sz w:val="24"/>
          <w:szCs w:val="24"/>
          <w:u w:val="single"/>
        </w:rPr>
      </w:pPr>
      <w:r>
        <w:rPr>
          <w:rFonts w:hint="eastAsia" w:cs="Times New Roman" w:asciiTheme="minorEastAsia" w:hAnsiTheme="minorEastAsia" w:eastAsiaTheme="minorEastAsia"/>
          <w:bCs/>
          <w:sz w:val="24"/>
          <w:szCs w:val="24"/>
        </w:rPr>
        <w:t xml:space="preserve">                           </w:t>
      </w:r>
      <w:r>
        <w:rPr>
          <w:rFonts w:hint="eastAsia" w:cs="Times New Roman" w:asciiTheme="minorEastAsia" w:hAnsiTheme="minorEastAsia" w:eastAsiaTheme="minorEastAsia"/>
          <w:bCs/>
          <w:sz w:val="24"/>
          <w:szCs w:val="24"/>
          <w:lang w:val="en-US" w:eastAsia="zh-CN"/>
        </w:rPr>
        <w:t xml:space="preserve">             </w:t>
      </w:r>
      <w:r>
        <w:rPr>
          <w:rFonts w:hint="eastAsia" w:cs="Times New Roman" w:asciiTheme="minorEastAsia" w:hAnsiTheme="minorEastAsia" w:eastAsiaTheme="minorEastAsia"/>
          <w:bCs/>
          <w:sz w:val="24"/>
          <w:szCs w:val="24"/>
        </w:rPr>
        <w:t>户名：</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lang w:val="en-US" w:eastAsia="zh-CN"/>
        </w:rPr>
        <w:t xml:space="preserve">        </w:t>
      </w:r>
      <w:r>
        <w:rPr>
          <w:rFonts w:hint="eastAsia" w:cs="Times New Roman" w:asciiTheme="minorEastAsia" w:hAnsiTheme="minorEastAsia" w:eastAsiaTheme="minorEastAsia"/>
          <w:bCs/>
          <w:sz w:val="24"/>
          <w:szCs w:val="24"/>
          <w:u w:val="single"/>
        </w:rPr>
        <w:t xml:space="preserve">   </w:t>
      </w:r>
    </w:p>
    <w:p>
      <w:pPr>
        <w:widowControl/>
        <w:spacing w:line="560" w:lineRule="exact"/>
        <w:jc w:val="left"/>
        <w:rPr>
          <w:rFonts w:hint="eastAsia" w:cs="Times New Roman" w:asciiTheme="minorEastAsia" w:hAnsiTheme="minorEastAsia" w:eastAsiaTheme="minorEastAsia"/>
          <w:bCs/>
          <w:sz w:val="24"/>
          <w:szCs w:val="24"/>
          <w:u w:val="single"/>
        </w:rPr>
      </w:pPr>
      <w:r>
        <w:rPr>
          <w:rFonts w:hint="eastAsia" w:cs="Times New Roman" w:asciiTheme="minorEastAsia" w:hAnsiTheme="minorEastAsia" w:eastAsiaTheme="minorEastAsia"/>
          <w:bCs/>
          <w:sz w:val="24"/>
          <w:szCs w:val="24"/>
        </w:rPr>
        <w:t xml:space="preserve">                                        账号：</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lang w:val="en-US" w:eastAsia="zh-CN"/>
        </w:rPr>
        <w:t xml:space="preserve">        </w:t>
      </w:r>
      <w:r>
        <w:rPr>
          <w:rFonts w:hint="eastAsia" w:cs="Times New Roman" w:asciiTheme="minorEastAsia" w:hAnsiTheme="minorEastAsia" w:eastAsiaTheme="minorEastAsia"/>
          <w:bCs/>
          <w:sz w:val="24"/>
          <w:szCs w:val="24"/>
          <w:u w:val="single"/>
        </w:rPr>
        <w:t xml:space="preserve">   </w:t>
      </w:r>
    </w:p>
    <w:p>
      <w:pPr>
        <w:widowControl/>
        <w:spacing w:line="560" w:lineRule="exact"/>
        <w:jc w:val="left"/>
        <w:rPr>
          <w:rFonts w:hint="eastAsia" w:cs="Times New Roman" w:asciiTheme="minorEastAsia" w:hAnsiTheme="minorEastAsia" w:eastAsiaTheme="minorEastAsia"/>
          <w:bCs/>
          <w:sz w:val="24"/>
          <w:szCs w:val="24"/>
          <w:u w:val="single"/>
        </w:rPr>
      </w:pPr>
      <w:r>
        <w:rPr>
          <w:rFonts w:hint="eastAsia" w:cs="Times New Roman" w:asciiTheme="minorEastAsia" w:hAnsiTheme="minorEastAsia" w:eastAsiaTheme="minorEastAsia"/>
          <w:bCs/>
          <w:sz w:val="24"/>
          <w:szCs w:val="24"/>
        </w:rPr>
        <w:t xml:space="preserve">                          </w:t>
      </w:r>
      <w:r>
        <w:rPr>
          <w:rFonts w:hint="eastAsia" w:cs="Times New Roman" w:asciiTheme="minorEastAsia" w:hAnsiTheme="minorEastAsia" w:eastAsiaTheme="minorEastAsia"/>
          <w:bCs/>
          <w:sz w:val="24"/>
          <w:szCs w:val="24"/>
          <w:lang w:val="en-US" w:eastAsia="zh-CN"/>
        </w:rPr>
        <w:t xml:space="preserve">             </w:t>
      </w:r>
      <w:r>
        <w:rPr>
          <w:rFonts w:hint="eastAsia" w:cs="Times New Roman" w:asciiTheme="minorEastAsia" w:hAnsiTheme="minorEastAsia" w:eastAsiaTheme="minorEastAsia"/>
          <w:bCs/>
          <w:sz w:val="24"/>
          <w:szCs w:val="24"/>
        </w:rPr>
        <w:t xml:space="preserve"> 开户银行：</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lang w:val="en-US" w:eastAsia="zh-CN"/>
        </w:rPr>
        <w:t xml:space="preserve">        </w:t>
      </w:r>
      <w:r>
        <w:rPr>
          <w:rFonts w:hint="eastAsia" w:cs="Times New Roman" w:asciiTheme="minorEastAsia" w:hAnsiTheme="minorEastAsia" w:eastAsiaTheme="minorEastAsia"/>
          <w:bCs/>
          <w:sz w:val="24"/>
          <w:szCs w:val="24"/>
          <w:u w:val="single"/>
        </w:rPr>
        <w:t xml:space="preserve">     </w:t>
      </w:r>
    </w:p>
    <w:p>
      <w:pPr>
        <w:widowControl/>
        <w:jc w:val="left"/>
        <w:rPr>
          <w:rFonts w:asciiTheme="minorEastAsia" w:hAnsiTheme="minorEastAsia" w:eastAsiaTheme="minorEastAsia"/>
          <w:b/>
          <w:sz w:val="24"/>
        </w:rPr>
      </w:pPr>
      <w:r>
        <w:rPr>
          <w:rFonts w:asciiTheme="minorEastAsia" w:hAnsiTheme="minorEastAsia" w:eastAsiaTheme="minorEastAsia"/>
          <w:b/>
          <w:sz w:val="24"/>
        </w:rPr>
        <w:br w:type="page"/>
      </w:r>
    </w:p>
    <w:p>
      <w:pPr>
        <w:spacing w:line="360" w:lineRule="auto"/>
        <w:jc w:val="center"/>
        <w:outlineLvl w:val="1"/>
        <w:rPr>
          <w:rFonts w:asciiTheme="minorEastAsia" w:hAnsiTheme="minorEastAsia" w:eastAsiaTheme="minorEastAsia"/>
          <w:b/>
          <w:sz w:val="24"/>
        </w:rPr>
      </w:pPr>
      <w:bookmarkStart w:id="115" w:name="_Toc20177"/>
      <w:r>
        <w:rPr>
          <w:rFonts w:hint="eastAsia" w:asciiTheme="minorEastAsia" w:hAnsiTheme="minorEastAsia" w:eastAsiaTheme="minorEastAsia"/>
          <w:b/>
          <w:sz w:val="24"/>
        </w:rPr>
        <w:t>第二部分</w:t>
      </w:r>
      <w:r>
        <w:rPr>
          <w:rFonts w:asciiTheme="minorEastAsia" w:hAnsiTheme="minorEastAsia" w:eastAsiaTheme="minorEastAsia"/>
          <w:b/>
          <w:sz w:val="24"/>
        </w:rPr>
        <w:t xml:space="preserve"> </w:t>
      </w:r>
      <w:r>
        <w:rPr>
          <w:rFonts w:hint="eastAsia" w:asciiTheme="minorEastAsia" w:hAnsiTheme="minorEastAsia" w:eastAsiaTheme="minorEastAsia"/>
          <w:b/>
          <w:sz w:val="24"/>
        </w:rPr>
        <w:t>合同一般条款</w:t>
      </w:r>
      <w:bookmarkEnd w:id="114"/>
      <w:bookmarkEnd w:id="115"/>
    </w:p>
    <w:p>
      <w:pPr>
        <w:spacing w:line="360" w:lineRule="auto"/>
        <w:ind w:firstLine="437"/>
        <w:outlineLvl w:val="2"/>
        <w:rPr>
          <w:rFonts w:asciiTheme="minorEastAsia" w:hAnsiTheme="minorEastAsia" w:eastAsiaTheme="minorEastAsia"/>
          <w:b/>
          <w:bCs/>
          <w:sz w:val="24"/>
          <w:lang w:val="zh-CN"/>
        </w:rPr>
      </w:pPr>
      <w:bookmarkStart w:id="116" w:name="_Ref467379205"/>
      <w:bookmarkStart w:id="117" w:name="_Toc259093669"/>
      <w:bookmarkStart w:id="118" w:name="_Ref467379109"/>
      <w:bookmarkStart w:id="119" w:name="_Ref467379094"/>
      <w:bookmarkStart w:id="120" w:name="_Ref467379225"/>
      <w:bookmarkStart w:id="121" w:name="_Ref467379101"/>
      <w:bookmarkStart w:id="122" w:name="_Ref467379214"/>
      <w:bookmarkStart w:id="123" w:name="_Ref467378404"/>
      <w:bookmarkStart w:id="124" w:name="_Ref467379195"/>
      <w:bookmarkStart w:id="125" w:name="_Toc16917"/>
      <w:bookmarkStart w:id="126" w:name="_Toc28763"/>
      <w:bookmarkStart w:id="127" w:name="_Toc487900349"/>
      <w:bookmarkStart w:id="128" w:name="_Toc279701240"/>
      <w:bookmarkStart w:id="129" w:name="_Toc19614"/>
      <w:bookmarkStart w:id="130" w:name="_Ref467378499"/>
      <w:bookmarkStart w:id="131" w:name="_Ref467378463"/>
      <w:r>
        <w:rPr>
          <w:rFonts w:hint="eastAsia" w:asciiTheme="minorEastAsia" w:hAnsiTheme="minorEastAsia" w:eastAsiaTheme="minorEastAsia"/>
          <w:b/>
          <w:bCs/>
          <w:sz w:val="24"/>
          <w:lang w:val="zh-CN"/>
        </w:rPr>
        <w:t>2.1</w:t>
      </w:r>
      <w:r>
        <w:rPr>
          <w:rFonts w:asciiTheme="minorEastAsia" w:hAnsiTheme="minorEastAsia" w:eastAsiaTheme="minorEastAsia"/>
          <w:b/>
          <w:bCs/>
          <w:sz w:val="24"/>
          <w:lang w:val="zh-CN"/>
        </w:rPr>
        <w:t xml:space="preserve"> 定义</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本合同中的下列</w:t>
      </w:r>
      <w:r>
        <w:rPr>
          <w:rFonts w:hint="eastAsia" w:asciiTheme="minorEastAsia" w:hAnsiTheme="minorEastAsia" w:eastAsiaTheme="minorEastAsia"/>
          <w:sz w:val="24"/>
        </w:rPr>
        <w:t>词</w:t>
      </w:r>
      <w:r>
        <w:rPr>
          <w:rFonts w:asciiTheme="minorEastAsia" w:hAnsiTheme="minorEastAsia" w:eastAsiaTheme="minorEastAsia"/>
          <w:sz w:val="24"/>
        </w:rPr>
        <w:t>语应</w:t>
      </w:r>
      <w:r>
        <w:rPr>
          <w:rFonts w:hint="eastAsia" w:asciiTheme="minorEastAsia" w:hAnsiTheme="minorEastAsia" w:eastAsiaTheme="minorEastAsia"/>
          <w:sz w:val="24"/>
        </w:rPr>
        <w:t>按以下内容进行</w:t>
      </w:r>
      <w:r>
        <w:rPr>
          <w:rFonts w:asciiTheme="minorEastAsia" w:hAnsiTheme="minorEastAsia" w:eastAsiaTheme="minorEastAsia"/>
          <w:sz w:val="24"/>
        </w:rPr>
        <w:t>解释：</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.1</w:t>
      </w:r>
      <w:r>
        <w:rPr>
          <w:rFonts w:hint="eastAsia" w:asciiTheme="minorEastAsia" w:hAnsiTheme="minorEastAsia" w:eastAsiaTheme="minorEastAsia"/>
          <w:sz w:val="24"/>
        </w:rPr>
        <w:t>.1</w:t>
      </w:r>
      <w:r>
        <w:rPr>
          <w:rFonts w:asciiTheme="minorEastAsia" w:hAnsiTheme="minorEastAsia" w:eastAsiaTheme="minorEastAsia"/>
          <w:sz w:val="24"/>
        </w:rPr>
        <w:t>“合同”系指采购人和成交供应商签订的载明双方当事人所达成的协议，并包括所有的附件、附录和构成合同的其他文件。</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1.2“合同价”系指根据合同约定，成交供应商在完全履行合同义务后</w:t>
      </w:r>
      <w:r>
        <w:rPr>
          <w:rFonts w:hint="eastAsia" w:asciiTheme="minorEastAsia" w:hAnsiTheme="minorEastAsia" w:eastAsiaTheme="minorEastAsia"/>
          <w:sz w:val="24"/>
        </w:rPr>
        <w:t>，</w:t>
      </w:r>
      <w:r>
        <w:rPr>
          <w:rFonts w:asciiTheme="minorEastAsia" w:hAnsiTheme="minorEastAsia" w:eastAsiaTheme="minorEastAsia"/>
          <w:sz w:val="24"/>
        </w:rPr>
        <w:t>采购人应支付给成交供应商的价格。</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1.3“货物”系指</w:t>
      </w:r>
      <w:r>
        <w:rPr>
          <w:rFonts w:hint="eastAsia" w:asciiTheme="minorEastAsia" w:hAnsiTheme="minorEastAsia" w:eastAsiaTheme="minorEastAsia"/>
          <w:sz w:val="24"/>
        </w:rPr>
        <w:t>成交供应商</w:t>
      </w:r>
      <w:r>
        <w:rPr>
          <w:rFonts w:asciiTheme="minorEastAsia" w:hAnsiTheme="minorEastAsia" w:eastAsiaTheme="minorEastAsia"/>
          <w:sz w:val="24"/>
        </w:rPr>
        <w:t>根据合同约定应向采购人交付的一切</w:t>
      </w:r>
      <w:r>
        <w:rPr>
          <w:rFonts w:hint="eastAsia" w:asciiTheme="minorEastAsia" w:hAnsiTheme="minorEastAsia" w:eastAsiaTheme="minorEastAsia"/>
          <w:sz w:val="24"/>
        </w:rPr>
        <w:t>各种形态和种类的物品，包括原材料、燃料、设备、</w:t>
      </w:r>
      <w:r>
        <w:rPr>
          <w:rFonts w:asciiTheme="minorEastAsia" w:hAnsiTheme="minorEastAsia" w:eastAsiaTheme="minorEastAsia"/>
          <w:sz w:val="24"/>
        </w:rPr>
        <w:t>机械、仪表、备件</w:t>
      </w:r>
      <w:r>
        <w:rPr>
          <w:rFonts w:hint="eastAsia" w:asciiTheme="minorEastAsia" w:hAnsiTheme="minorEastAsia" w:eastAsiaTheme="minorEastAsia"/>
          <w:sz w:val="24"/>
        </w:rPr>
        <w:t>、计算机软件、产品等</w:t>
      </w:r>
      <w:r>
        <w:rPr>
          <w:rFonts w:asciiTheme="minorEastAsia" w:hAnsiTheme="minorEastAsia" w:eastAsiaTheme="minorEastAsia"/>
          <w:sz w:val="24"/>
        </w:rPr>
        <w:t>，并包括工具、手册等其他相关资料。</w:t>
      </w:r>
    </w:p>
    <w:p>
      <w:pPr>
        <w:spacing w:line="360" w:lineRule="auto"/>
        <w:ind w:firstLine="435"/>
        <w:rPr>
          <w:rFonts w:asciiTheme="minorEastAsia" w:hAnsiTheme="minorEastAsia" w:eastAsiaTheme="minorEastAsia"/>
          <w:sz w:val="24"/>
        </w:rPr>
      </w:pPr>
      <w:bookmarkStart w:id="132" w:name="_Ref467378840"/>
      <w:r>
        <w:rPr>
          <w:rFonts w:hint="eastAsia" w:asciiTheme="minorEastAsia" w:hAnsiTheme="minorEastAsia" w:eastAsiaTheme="minorEastAsia"/>
          <w:sz w:val="24"/>
        </w:rPr>
        <w:t>2.</w:t>
      </w:r>
      <w:r>
        <w:rPr>
          <w:rFonts w:asciiTheme="minorEastAsia" w:hAnsiTheme="minorEastAsia" w:eastAsiaTheme="minorEastAsia"/>
          <w:sz w:val="24"/>
        </w:rPr>
        <w:t>1.</w:t>
      </w:r>
      <w:r>
        <w:rPr>
          <w:rFonts w:hint="eastAsia" w:asciiTheme="minorEastAsia" w:hAnsiTheme="minorEastAsia" w:eastAsiaTheme="minorEastAsia"/>
          <w:sz w:val="24"/>
        </w:rPr>
        <w:t>4</w:t>
      </w:r>
      <w:r>
        <w:rPr>
          <w:rFonts w:asciiTheme="minorEastAsia" w:hAnsiTheme="minorEastAsia" w:eastAsiaTheme="minorEastAsia"/>
          <w:sz w:val="24"/>
        </w:rPr>
        <w:t>“</w:t>
      </w:r>
      <w:r>
        <w:rPr>
          <w:rFonts w:hint="eastAsia" w:asciiTheme="minorEastAsia" w:hAnsiTheme="minorEastAsia" w:eastAsiaTheme="minorEastAsia"/>
          <w:sz w:val="24"/>
        </w:rPr>
        <w:t>甲方</w:t>
      </w:r>
      <w:r>
        <w:rPr>
          <w:rFonts w:asciiTheme="minorEastAsia" w:hAnsiTheme="minorEastAsia" w:eastAsiaTheme="minorEastAsia"/>
          <w:sz w:val="24"/>
        </w:rPr>
        <w:t>”系指与</w:t>
      </w:r>
      <w:r>
        <w:rPr>
          <w:rFonts w:hint="eastAsia" w:asciiTheme="minorEastAsia" w:hAnsiTheme="minorEastAsia" w:eastAsiaTheme="minorEastAsia"/>
          <w:sz w:val="24"/>
        </w:rPr>
        <w:t>成交供应商</w:t>
      </w:r>
      <w:r>
        <w:rPr>
          <w:rFonts w:asciiTheme="minorEastAsia" w:hAnsiTheme="minorEastAsia" w:eastAsiaTheme="minorEastAsia"/>
          <w:sz w:val="24"/>
        </w:rPr>
        <w:t>签署合同的采购人</w:t>
      </w:r>
      <w:bookmarkEnd w:id="132"/>
      <w:r>
        <w:rPr>
          <w:rFonts w:hint="eastAsia" w:asciiTheme="minorEastAsia" w:hAnsiTheme="minorEastAsia" w:eastAsiaTheme="minorEastAsia"/>
          <w:sz w:val="24"/>
        </w:rPr>
        <w:t>；采购人委托采购代理机构代表其与乙方签订合同的，采购人的授权委托书作为合同附件。</w:t>
      </w:r>
    </w:p>
    <w:p>
      <w:pPr>
        <w:spacing w:line="360" w:lineRule="auto"/>
        <w:ind w:firstLine="435"/>
        <w:rPr>
          <w:rFonts w:asciiTheme="minorEastAsia" w:hAnsiTheme="minorEastAsia" w:eastAsiaTheme="minorEastAsia"/>
          <w:sz w:val="24"/>
        </w:rPr>
      </w:pPr>
      <w:bookmarkStart w:id="133" w:name="_Ref467379400"/>
      <w:r>
        <w:rPr>
          <w:rFonts w:hint="eastAsia" w:asciiTheme="minorEastAsia" w:hAnsiTheme="minorEastAsia" w:eastAsiaTheme="minorEastAsia"/>
          <w:sz w:val="24"/>
        </w:rPr>
        <w:t>2.</w:t>
      </w:r>
      <w:r>
        <w:rPr>
          <w:rFonts w:asciiTheme="minorEastAsia" w:hAnsiTheme="minorEastAsia" w:eastAsiaTheme="minorEastAsia"/>
          <w:sz w:val="24"/>
        </w:rPr>
        <w:t>1.</w:t>
      </w:r>
      <w:r>
        <w:rPr>
          <w:rFonts w:hint="eastAsia" w:asciiTheme="minorEastAsia" w:hAnsiTheme="minorEastAsia" w:eastAsiaTheme="minorEastAsia"/>
          <w:sz w:val="24"/>
        </w:rPr>
        <w:t>5</w:t>
      </w:r>
      <w:r>
        <w:rPr>
          <w:rFonts w:asciiTheme="minorEastAsia" w:hAnsiTheme="minorEastAsia" w:eastAsiaTheme="minorEastAsia"/>
          <w:sz w:val="24"/>
        </w:rPr>
        <w:t>“乙方”系指根据合同约定交付货物的成交供应商</w:t>
      </w:r>
      <w:bookmarkEnd w:id="133"/>
      <w:r>
        <w:rPr>
          <w:rFonts w:hint="eastAsia" w:asciiTheme="minorEastAsia" w:hAnsiTheme="minorEastAsia" w:eastAsiaTheme="minorEastAsia"/>
          <w:sz w:val="24"/>
        </w:rPr>
        <w:t>；两个以上的自然人、法人或者其他组织组成一个联合体，以一个供应商的身份共同参加政府采购的，联合体各方均应为乙方或者与乙方相同地位的合同当事人，并就合同约定的事项对甲方承担连带责任。</w:t>
      </w:r>
    </w:p>
    <w:p>
      <w:pPr>
        <w:spacing w:line="360" w:lineRule="auto"/>
        <w:ind w:firstLine="435"/>
        <w:rPr>
          <w:rFonts w:asciiTheme="minorEastAsia" w:hAnsiTheme="minorEastAsia" w:eastAsiaTheme="minorEastAsia"/>
          <w:sz w:val="24"/>
        </w:rPr>
      </w:pPr>
      <w:bookmarkStart w:id="134" w:name="_Ref467379436"/>
      <w:r>
        <w:rPr>
          <w:rFonts w:hint="eastAsia" w:asciiTheme="minorEastAsia" w:hAnsiTheme="minorEastAsia" w:eastAsiaTheme="minorEastAsia"/>
          <w:sz w:val="24"/>
        </w:rPr>
        <w:t>2.</w:t>
      </w:r>
      <w:r>
        <w:rPr>
          <w:rFonts w:asciiTheme="minorEastAsia" w:hAnsiTheme="minorEastAsia" w:eastAsiaTheme="minorEastAsia"/>
          <w:sz w:val="24"/>
        </w:rPr>
        <w:t>1.</w:t>
      </w:r>
      <w:r>
        <w:rPr>
          <w:rFonts w:hint="eastAsia" w:asciiTheme="minorEastAsia" w:hAnsiTheme="minorEastAsia" w:eastAsiaTheme="minorEastAsia"/>
          <w:sz w:val="24"/>
        </w:rPr>
        <w:t>6</w:t>
      </w:r>
      <w:r>
        <w:rPr>
          <w:rFonts w:asciiTheme="minorEastAsia" w:hAnsiTheme="minorEastAsia" w:eastAsiaTheme="minorEastAsia"/>
          <w:sz w:val="24"/>
        </w:rPr>
        <w:t>“现场”系指合同约定货物将要运至</w:t>
      </w:r>
      <w:r>
        <w:rPr>
          <w:rFonts w:hint="eastAsia" w:asciiTheme="minorEastAsia" w:hAnsiTheme="minorEastAsia" w:eastAsiaTheme="minorEastAsia"/>
          <w:sz w:val="24"/>
        </w:rPr>
        <w:t>或者</w:t>
      </w:r>
      <w:r>
        <w:rPr>
          <w:rFonts w:asciiTheme="minorEastAsia" w:hAnsiTheme="minorEastAsia" w:eastAsiaTheme="minorEastAsia"/>
          <w:sz w:val="24"/>
        </w:rPr>
        <w:t>安装的地点。</w:t>
      </w:r>
      <w:bookmarkEnd w:id="134"/>
    </w:p>
    <w:p>
      <w:pPr>
        <w:spacing w:line="360" w:lineRule="auto"/>
        <w:ind w:firstLine="437"/>
        <w:outlineLvl w:val="2"/>
        <w:rPr>
          <w:rFonts w:asciiTheme="minorEastAsia" w:hAnsiTheme="minorEastAsia" w:eastAsiaTheme="minorEastAsia"/>
          <w:b/>
          <w:bCs/>
          <w:sz w:val="24"/>
          <w:lang w:val="zh-CN"/>
        </w:rPr>
      </w:pPr>
      <w:bookmarkStart w:id="135" w:name="_Toc32504"/>
      <w:bookmarkStart w:id="136" w:name="_Toc13336"/>
      <w:bookmarkStart w:id="137" w:name="_Toc279701241"/>
      <w:bookmarkStart w:id="138" w:name="_Toc259093670"/>
      <w:bookmarkStart w:id="139" w:name="_Toc27635"/>
      <w:bookmarkStart w:id="140" w:name="_Toc487900350"/>
      <w:r>
        <w:rPr>
          <w:rFonts w:hint="eastAsia" w:asciiTheme="minorEastAsia" w:hAnsiTheme="minorEastAsia" w:eastAsiaTheme="minorEastAsia"/>
          <w:b/>
          <w:bCs/>
          <w:sz w:val="24"/>
          <w:lang w:val="zh-CN"/>
        </w:rPr>
        <w:t>2.</w:t>
      </w:r>
      <w:r>
        <w:rPr>
          <w:rFonts w:asciiTheme="minorEastAsia" w:hAnsiTheme="minorEastAsia" w:eastAsiaTheme="minorEastAsia"/>
          <w:b/>
          <w:bCs/>
          <w:sz w:val="24"/>
          <w:lang w:val="zh-CN"/>
        </w:rPr>
        <w:t>2 技术规范</w:t>
      </w:r>
      <w:bookmarkEnd w:id="135"/>
      <w:bookmarkEnd w:id="136"/>
      <w:bookmarkEnd w:id="137"/>
      <w:bookmarkEnd w:id="138"/>
      <w:bookmarkEnd w:id="139"/>
      <w:bookmarkEnd w:id="140"/>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货物所应遵守的技术规范应与采购文件规定的技术规范和技术规范附件(如果有的话)及其技术规范偏差表(如果被甲方接受的话)相一致</w:t>
      </w:r>
      <w:r>
        <w:rPr>
          <w:rFonts w:hint="eastAsia" w:asciiTheme="minorEastAsia" w:hAnsiTheme="minorEastAsia" w:eastAsiaTheme="minorEastAsia"/>
          <w:sz w:val="24"/>
        </w:rPr>
        <w:t>；</w:t>
      </w:r>
      <w:r>
        <w:rPr>
          <w:rFonts w:asciiTheme="minorEastAsia" w:hAnsiTheme="minorEastAsia" w:eastAsiaTheme="minorEastAsia"/>
          <w:sz w:val="24"/>
        </w:rPr>
        <w:t>如果采购文件中没有技术规范的相应说明，那么应以国家有关部门最新颁布的相应标准</w:t>
      </w:r>
      <w:r>
        <w:rPr>
          <w:rFonts w:hint="eastAsia" w:asciiTheme="minorEastAsia" w:hAnsiTheme="minorEastAsia" w:eastAsiaTheme="minorEastAsia"/>
          <w:sz w:val="24"/>
        </w:rPr>
        <w:t>和</w:t>
      </w:r>
      <w:r>
        <w:rPr>
          <w:rFonts w:asciiTheme="minorEastAsia" w:hAnsiTheme="minorEastAsia" w:eastAsiaTheme="minorEastAsia"/>
          <w:sz w:val="24"/>
        </w:rPr>
        <w:t>规范为准。</w:t>
      </w:r>
    </w:p>
    <w:p>
      <w:pPr>
        <w:spacing w:line="360" w:lineRule="auto"/>
        <w:ind w:firstLine="437"/>
        <w:outlineLvl w:val="2"/>
        <w:rPr>
          <w:rFonts w:asciiTheme="minorEastAsia" w:hAnsiTheme="minorEastAsia" w:eastAsiaTheme="minorEastAsia"/>
          <w:b/>
          <w:bCs/>
          <w:sz w:val="24"/>
          <w:lang w:val="zh-CN"/>
        </w:rPr>
      </w:pPr>
      <w:bookmarkStart w:id="141" w:name="_Toc27853"/>
      <w:bookmarkStart w:id="142" w:name="_Toc279701242"/>
      <w:bookmarkStart w:id="143" w:name="_Toc31634"/>
      <w:bookmarkStart w:id="144" w:name="_Toc259093671"/>
      <w:bookmarkStart w:id="145" w:name="_Toc487900351"/>
      <w:bookmarkStart w:id="146" w:name="_Toc9829"/>
      <w:r>
        <w:rPr>
          <w:rFonts w:hint="eastAsia" w:asciiTheme="minorEastAsia" w:hAnsiTheme="minorEastAsia" w:eastAsiaTheme="minorEastAsia"/>
          <w:b/>
          <w:bCs/>
          <w:sz w:val="24"/>
          <w:lang w:val="zh-CN"/>
        </w:rPr>
        <w:t>2.</w:t>
      </w:r>
      <w:r>
        <w:rPr>
          <w:rFonts w:asciiTheme="minorEastAsia" w:hAnsiTheme="minorEastAsia" w:eastAsiaTheme="minorEastAsia"/>
          <w:b/>
          <w:bCs/>
          <w:sz w:val="24"/>
          <w:lang w:val="zh-CN"/>
        </w:rPr>
        <w:t>3 知识产权</w:t>
      </w:r>
      <w:bookmarkEnd w:id="141"/>
      <w:bookmarkEnd w:id="142"/>
      <w:bookmarkEnd w:id="143"/>
      <w:bookmarkEnd w:id="144"/>
      <w:bookmarkEnd w:id="145"/>
      <w:bookmarkEnd w:id="146"/>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2.3.1乙</w:t>
      </w:r>
      <w:r>
        <w:rPr>
          <w:rFonts w:asciiTheme="minorEastAsia" w:hAnsiTheme="minorEastAsia" w:eastAsiaTheme="minorEastAsia"/>
          <w:sz w:val="24"/>
        </w:rPr>
        <w:t>方应保证甲方在使用该货物或其任何一部分时不受任何第三方提出的侵犯其著作权、商标权、专利权等知识产权方面的起诉</w:t>
      </w:r>
      <w:r>
        <w:rPr>
          <w:rFonts w:hint="eastAsia" w:asciiTheme="minorEastAsia" w:hAnsiTheme="minorEastAsia" w:eastAsiaTheme="minorEastAsia"/>
          <w:sz w:val="24"/>
        </w:rPr>
        <w:t>；</w:t>
      </w:r>
      <w:r>
        <w:rPr>
          <w:rFonts w:asciiTheme="minorEastAsia" w:hAnsiTheme="minorEastAsia" w:eastAsiaTheme="minorEastAsia"/>
          <w:sz w:val="24"/>
        </w:rPr>
        <w:t>如果任何第三方提出侵权</w:t>
      </w:r>
      <w:r>
        <w:rPr>
          <w:rFonts w:hint="eastAsia" w:asciiTheme="minorEastAsia" w:hAnsiTheme="minorEastAsia" w:eastAsiaTheme="minorEastAsia"/>
          <w:sz w:val="24"/>
        </w:rPr>
        <w:t>指控</w:t>
      </w:r>
      <w:r>
        <w:rPr>
          <w:rFonts w:asciiTheme="minorEastAsia" w:hAnsiTheme="minorEastAsia" w:eastAsiaTheme="minorEastAsia"/>
          <w:sz w:val="24"/>
        </w:rPr>
        <w:t>，那么乙方须与该第三方交涉并承担由此发生的一切责任、费用和赔偿</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2.3.2具有知识产权的计算机软件等货物的知识产权归属，</w:t>
      </w:r>
      <w:r>
        <w:rPr>
          <w:rFonts w:asciiTheme="minorEastAsia" w:hAnsiTheme="minorEastAsia" w:eastAsiaTheme="minorEastAsia"/>
          <w:sz w:val="24"/>
        </w:rPr>
        <w:t>详见</w:t>
      </w:r>
      <w:r>
        <w:rPr>
          <w:rFonts w:asciiTheme="minorEastAsia" w:hAnsiTheme="minorEastAsia" w:eastAsiaTheme="minorEastAsia"/>
          <w:b/>
          <w:i/>
          <w:sz w:val="24"/>
          <w:u w:val="single"/>
        </w:rPr>
        <w:t>合同专用条款</w:t>
      </w:r>
      <w:r>
        <w:rPr>
          <w:rFonts w:asciiTheme="minorEastAsia" w:hAnsiTheme="minorEastAsia" w:eastAsiaTheme="minorEastAsia"/>
          <w:sz w:val="24"/>
        </w:rPr>
        <w:t>。</w:t>
      </w:r>
    </w:p>
    <w:p>
      <w:pPr>
        <w:spacing w:line="360" w:lineRule="auto"/>
        <w:ind w:firstLine="437"/>
        <w:outlineLvl w:val="2"/>
        <w:rPr>
          <w:rFonts w:asciiTheme="minorEastAsia" w:hAnsiTheme="minorEastAsia" w:eastAsiaTheme="minorEastAsia"/>
          <w:b/>
          <w:sz w:val="24"/>
        </w:rPr>
      </w:pPr>
      <w:bookmarkStart w:id="147" w:name="_Toc29149"/>
      <w:bookmarkStart w:id="148" w:name="_Toc11932"/>
      <w:bookmarkStart w:id="149" w:name="_Toc4194"/>
      <w:r>
        <w:rPr>
          <w:rFonts w:hint="eastAsia" w:asciiTheme="minorEastAsia" w:hAnsiTheme="minorEastAsia" w:eastAsiaTheme="minorEastAsia"/>
          <w:b/>
          <w:bCs/>
          <w:sz w:val="24"/>
          <w:lang w:val="zh-CN"/>
        </w:rPr>
        <w:t>2.4</w:t>
      </w:r>
      <w:r>
        <w:rPr>
          <w:rFonts w:asciiTheme="minorEastAsia" w:hAnsiTheme="minorEastAsia" w:eastAsiaTheme="minorEastAsia"/>
          <w:b/>
          <w:bCs/>
          <w:sz w:val="24"/>
          <w:lang w:val="zh-CN"/>
        </w:rPr>
        <w:t xml:space="preserve"> </w:t>
      </w:r>
      <w:r>
        <w:rPr>
          <w:rFonts w:hint="eastAsia" w:asciiTheme="minorEastAsia" w:hAnsiTheme="minorEastAsia" w:eastAsiaTheme="minorEastAsia"/>
          <w:b/>
          <w:bCs/>
          <w:sz w:val="24"/>
          <w:lang w:val="zh-CN"/>
        </w:rPr>
        <w:t>包装和装运</w:t>
      </w:r>
      <w:bookmarkEnd w:id="147"/>
      <w:bookmarkEnd w:id="148"/>
      <w:bookmarkEnd w:id="149"/>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2.4.1除</w:t>
      </w:r>
      <w:r>
        <w:rPr>
          <w:rFonts w:asciiTheme="minorEastAsia" w:hAnsiTheme="minorEastAsia" w:eastAsiaTheme="minorEastAsia"/>
          <w:b/>
          <w:i/>
          <w:sz w:val="24"/>
          <w:u w:val="single"/>
        </w:rPr>
        <w:t>合同专用条款</w:t>
      </w:r>
      <w:r>
        <w:rPr>
          <w:rFonts w:hint="eastAsia" w:asciiTheme="minorEastAsia" w:hAnsiTheme="minorEastAsia" w:eastAsiaTheme="minorEastAsia"/>
          <w:sz w:val="24"/>
        </w:rPr>
        <w:t>另有约定外,乙方交付的全部货物,均应采用本行业通用的方式进行包装，没有通用方式的，应当采取足以保护货物的包装方式，且该包装应符合国家有关包装的法律、法规的规定。如有必要，包装应适用于远距离运输、防潮、防震、防锈和防粗暴装卸，确保货物安全无损地运抵现场。由于包装不善所引起的货物锈蚀、损坏和损失等一切风险均由乙方承担。</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2.4.2装运货物的要求和通知，详见</w:t>
      </w:r>
      <w:r>
        <w:rPr>
          <w:rFonts w:asciiTheme="minorEastAsia" w:hAnsiTheme="minorEastAsia" w:eastAsiaTheme="minorEastAsia"/>
          <w:b/>
          <w:i/>
          <w:sz w:val="24"/>
          <w:u w:val="single"/>
        </w:rPr>
        <w:t>合同专用条款</w:t>
      </w:r>
      <w:r>
        <w:rPr>
          <w:rFonts w:hint="eastAsia"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150" w:name="_Ref467378591"/>
      <w:bookmarkStart w:id="151" w:name="_Ref467379536"/>
      <w:bookmarkStart w:id="152" w:name="_Toc487900354"/>
      <w:bookmarkStart w:id="153" w:name="_Ref467379527"/>
      <w:bookmarkStart w:id="154" w:name="_Ref467378541"/>
      <w:bookmarkStart w:id="155" w:name="_Toc259093674"/>
      <w:bookmarkStart w:id="156" w:name="_Ref467379542"/>
      <w:bookmarkStart w:id="157" w:name="_Toc279701245"/>
      <w:bookmarkStart w:id="158" w:name="_Toc30272"/>
      <w:bookmarkStart w:id="159" w:name="_Toc19074"/>
      <w:bookmarkStart w:id="160" w:name="_Toc26182"/>
      <w:r>
        <w:rPr>
          <w:rFonts w:hint="eastAsia" w:asciiTheme="minorEastAsia" w:hAnsiTheme="minorEastAsia" w:eastAsiaTheme="minorEastAsia"/>
          <w:b/>
          <w:bCs/>
          <w:sz w:val="24"/>
          <w:lang w:val="zh-CN"/>
        </w:rPr>
        <w:t>2.</w:t>
      </w:r>
      <w:bookmarkEnd w:id="150"/>
      <w:bookmarkEnd w:id="151"/>
      <w:bookmarkEnd w:id="152"/>
      <w:bookmarkEnd w:id="153"/>
      <w:bookmarkEnd w:id="154"/>
      <w:bookmarkEnd w:id="155"/>
      <w:bookmarkEnd w:id="156"/>
      <w:bookmarkEnd w:id="157"/>
      <w:r>
        <w:rPr>
          <w:rFonts w:hint="eastAsia" w:asciiTheme="minorEastAsia" w:hAnsiTheme="minorEastAsia" w:eastAsiaTheme="minorEastAsia"/>
          <w:b/>
          <w:bCs/>
          <w:sz w:val="24"/>
          <w:lang w:val="zh-CN"/>
        </w:rPr>
        <w:t>5</w:t>
      </w:r>
      <w:r>
        <w:rPr>
          <w:rFonts w:asciiTheme="minorEastAsia" w:hAnsiTheme="minorEastAsia" w:eastAsiaTheme="minorEastAsia"/>
          <w:b/>
          <w:bCs/>
          <w:sz w:val="24"/>
          <w:lang w:val="zh-CN"/>
        </w:rPr>
        <w:t xml:space="preserve"> </w:t>
      </w:r>
      <w:r>
        <w:rPr>
          <w:rFonts w:hint="eastAsia" w:asciiTheme="minorEastAsia" w:hAnsiTheme="minorEastAsia" w:eastAsiaTheme="minorEastAsia"/>
          <w:b/>
          <w:bCs/>
          <w:sz w:val="24"/>
          <w:lang w:val="zh-CN"/>
        </w:rPr>
        <w:t>履约检查和问题反馈</w:t>
      </w:r>
      <w:bookmarkEnd w:id="158"/>
      <w:bookmarkEnd w:id="159"/>
      <w:bookmarkEnd w:id="160"/>
    </w:p>
    <w:p>
      <w:pPr>
        <w:spacing w:line="360" w:lineRule="auto"/>
        <w:ind w:firstLine="435"/>
        <w:rPr>
          <w:rFonts w:asciiTheme="minorEastAsia" w:hAnsiTheme="minorEastAsia" w:eastAsiaTheme="minorEastAsia"/>
          <w:sz w:val="24"/>
        </w:rPr>
      </w:pPr>
      <w:bookmarkStart w:id="161" w:name="_Ref467379657"/>
      <w:r>
        <w:rPr>
          <w:rFonts w:hint="eastAsia" w:asciiTheme="minorEastAsia" w:hAnsiTheme="minorEastAsia" w:eastAsiaTheme="minorEastAsia"/>
          <w:sz w:val="24"/>
        </w:rPr>
        <w:t>2.5</w:t>
      </w:r>
      <w:r>
        <w:rPr>
          <w:rFonts w:asciiTheme="minorEastAsia" w:hAnsiTheme="minorEastAsia" w:eastAsiaTheme="minorEastAsia"/>
          <w:sz w:val="24"/>
        </w:rPr>
        <w:t>.1</w:t>
      </w:r>
      <w:bookmarkEnd w:id="161"/>
      <w:bookmarkStart w:id="162" w:name="_Toc186431854"/>
      <w:bookmarkStart w:id="163" w:name="_Ref467379793"/>
      <w:bookmarkStart w:id="164" w:name="_Toc487900357"/>
      <w:bookmarkStart w:id="165" w:name="_Toc259093676"/>
      <w:bookmarkStart w:id="166" w:name="_Toc279701247"/>
      <w:bookmarkStart w:id="167" w:name="_Ref467379807"/>
      <w:r>
        <w:rPr>
          <w:rFonts w:asciiTheme="minorEastAsia" w:hAnsiTheme="minorEastAsia" w:eastAsiaTheme="minorEastAsia"/>
          <w:sz w:val="24"/>
        </w:rPr>
        <w:t>甲方</w:t>
      </w:r>
      <w:r>
        <w:rPr>
          <w:rFonts w:hint="eastAsia" w:asciiTheme="minorEastAsia" w:hAnsiTheme="minorEastAsia" w:eastAsiaTheme="minorEastAsia"/>
          <w:sz w:val="24"/>
        </w:rPr>
        <w:t>有权</w:t>
      </w:r>
      <w:r>
        <w:rPr>
          <w:rFonts w:asciiTheme="minorEastAsia" w:hAnsiTheme="minorEastAsia" w:eastAsiaTheme="minorEastAsia"/>
          <w:sz w:val="24"/>
        </w:rPr>
        <w:t>在其认为必要时</w:t>
      </w:r>
      <w:r>
        <w:rPr>
          <w:rFonts w:hint="eastAsia" w:asciiTheme="minorEastAsia" w:hAnsiTheme="minorEastAsia" w:eastAsiaTheme="minorEastAsia"/>
          <w:sz w:val="24"/>
        </w:rPr>
        <w:t>，对乙方是否能够按照合同约定交付货物进行履约检查，以确保乙方所交付的货物能够依约满足甲方项目需求，但不得因履约检查妨碍乙方的正常工作，乙方应予积极配合；</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2.5.2合同履行期间，甲方有权将履行过程中出现的问题反馈给乙方，双方当事人应以书面形式约定需要完善和改进的内容</w:t>
      </w:r>
      <w:bookmarkEnd w:id="162"/>
      <w:bookmarkStart w:id="168" w:name="_Toc186431855"/>
      <w:r>
        <w:rPr>
          <w:rFonts w:hint="eastAsia" w:asciiTheme="minorEastAsia" w:hAnsiTheme="minorEastAsia" w:eastAsiaTheme="minorEastAsia"/>
          <w:sz w:val="24"/>
        </w:rPr>
        <w:t>。</w:t>
      </w:r>
    </w:p>
    <w:bookmarkEnd w:id="168"/>
    <w:p>
      <w:pPr>
        <w:spacing w:line="360" w:lineRule="auto"/>
        <w:ind w:firstLine="437"/>
        <w:outlineLvl w:val="2"/>
        <w:rPr>
          <w:rFonts w:asciiTheme="minorEastAsia" w:hAnsiTheme="minorEastAsia" w:eastAsiaTheme="minorEastAsia"/>
          <w:b/>
          <w:bCs/>
          <w:sz w:val="24"/>
          <w:lang w:val="zh-CN"/>
        </w:rPr>
      </w:pPr>
      <w:bookmarkStart w:id="169" w:name="_Toc19219"/>
      <w:bookmarkStart w:id="170" w:name="_Toc28451"/>
      <w:bookmarkStart w:id="171" w:name="_Toc7836"/>
      <w:r>
        <w:rPr>
          <w:rFonts w:hint="eastAsia" w:asciiTheme="minorEastAsia" w:hAnsiTheme="minorEastAsia" w:eastAsiaTheme="minorEastAsia"/>
          <w:b/>
          <w:bCs/>
          <w:sz w:val="24"/>
          <w:lang w:val="zh-CN"/>
        </w:rPr>
        <w:t xml:space="preserve">2.6 </w:t>
      </w:r>
      <w:r>
        <w:rPr>
          <w:rFonts w:asciiTheme="minorEastAsia" w:hAnsiTheme="minorEastAsia" w:eastAsiaTheme="minorEastAsia"/>
          <w:b/>
          <w:bCs/>
          <w:sz w:val="24"/>
          <w:lang w:val="zh-CN"/>
        </w:rPr>
        <w:t>结算方式和付款条件</w:t>
      </w:r>
      <w:bookmarkEnd w:id="163"/>
      <w:bookmarkEnd w:id="164"/>
      <w:bookmarkEnd w:id="165"/>
      <w:bookmarkEnd w:id="166"/>
      <w:bookmarkEnd w:id="167"/>
      <w:bookmarkEnd w:id="169"/>
      <w:bookmarkEnd w:id="170"/>
      <w:bookmarkEnd w:id="171"/>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详见</w:t>
      </w:r>
      <w:r>
        <w:rPr>
          <w:rFonts w:asciiTheme="minorEastAsia" w:hAnsiTheme="minorEastAsia" w:eastAsiaTheme="minorEastAsia"/>
          <w:b/>
          <w:i/>
          <w:sz w:val="24"/>
          <w:u w:val="single"/>
        </w:rPr>
        <w:t>合同专用条款</w:t>
      </w:r>
      <w:r>
        <w:rPr>
          <w:rFonts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172" w:name="_Ref467379852"/>
      <w:bookmarkStart w:id="173" w:name="_Toc487900358"/>
      <w:bookmarkStart w:id="174" w:name="_Ref467379923"/>
      <w:bookmarkStart w:id="175" w:name="_Toc259093677"/>
      <w:bookmarkStart w:id="176" w:name="_Toc279701248"/>
      <w:bookmarkStart w:id="177" w:name="_Ref467379863"/>
      <w:bookmarkStart w:id="178" w:name="_Toc3225"/>
      <w:bookmarkStart w:id="179" w:name="_Toc16110"/>
      <w:bookmarkStart w:id="180" w:name="_Toc774"/>
      <w:r>
        <w:rPr>
          <w:rFonts w:hint="eastAsia" w:asciiTheme="minorEastAsia" w:hAnsiTheme="minorEastAsia" w:eastAsiaTheme="minorEastAsia"/>
          <w:b/>
          <w:bCs/>
          <w:sz w:val="24"/>
          <w:lang w:val="zh-CN"/>
        </w:rPr>
        <w:t xml:space="preserve">2.7 </w:t>
      </w:r>
      <w:r>
        <w:rPr>
          <w:rFonts w:asciiTheme="minorEastAsia" w:hAnsiTheme="minorEastAsia" w:eastAsiaTheme="minorEastAsia"/>
          <w:b/>
          <w:bCs/>
          <w:sz w:val="24"/>
          <w:lang w:val="zh-CN"/>
        </w:rPr>
        <w:t>技术资料</w:t>
      </w:r>
      <w:bookmarkEnd w:id="172"/>
      <w:bookmarkEnd w:id="173"/>
      <w:bookmarkEnd w:id="174"/>
      <w:bookmarkEnd w:id="175"/>
      <w:bookmarkEnd w:id="176"/>
      <w:bookmarkEnd w:id="177"/>
      <w:r>
        <w:rPr>
          <w:rFonts w:asciiTheme="minorEastAsia" w:hAnsiTheme="minorEastAsia" w:eastAsiaTheme="minorEastAsia"/>
          <w:b/>
          <w:bCs/>
          <w:sz w:val="24"/>
          <w:lang w:val="zh-CN"/>
        </w:rPr>
        <w:t>和保密义务</w:t>
      </w:r>
      <w:bookmarkEnd w:id="178"/>
      <w:bookmarkEnd w:id="179"/>
      <w:bookmarkEnd w:id="180"/>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2.7</w:t>
      </w:r>
      <w:r>
        <w:rPr>
          <w:rFonts w:asciiTheme="minorEastAsia" w:hAnsiTheme="minorEastAsia" w:eastAsiaTheme="minorEastAsia"/>
          <w:sz w:val="24"/>
        </w:rPr>
        <w:t>.1</w:t>
      </w:r>
      <w:r>
        <w:rPr>
          <w:rFonts w:hint="eastAsia" w:asciiTheme="minorEastAsia" w:hAnsiTheme="minorEastAsia" w:eastAsiaTheme="minorEastAsia"/>
          <w:sz w:val="24"/>
        </w:rPr>
        <w:t>乙方有权依据合同约定和项目需要，向甲方了解有关情况，调阅有关资料等，甲方应予积极配合；</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2.7.2乙方有义务妥善保管和保护由甲方提供的前款信息和资料等；</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2.7</w:t>
      </w:r>
      <w:r>
        <w:rPr>
          <w:rFonts w:asciiTheme="minorEastAsia" w:hAnsiTheme="minorEastAsia" w:eastAsiaTheme="minorEastAsia"/>
          <w:sz w:val="24"/>
        </w:rPr>
        <w:t>.</w:t>
      </w:r>
      <w:r>
        <w:rPr>
          <w:rFonts w:hint="eastAsia" w:asciiTheme="minorEastAsia" w:hAnsiTheme="minorEastAsia" w:eastAsiaTheme="minorEastAsia"/>
          <w:sz w:val="24"/>
        </w:rPr>
        <w:t>3除非依照法律规定或者对方当事人的书面同意，任何一方均应保证不向任何第三方提供或披露有关合同的或者履行合同过程中知悉的对方当事人任何未公开的信息和资料，包括但不限于</w:t>
      </w:r>
      <w:r>
        <w:rPr>
          <w:rFonts w:asciiTheme="minorEastAsia" w:hAnsiTheme="minorEastAsia" w:eastAsiaTheme="minorEastAsia"/>
          <w:sz w:val="24"/>
        </w:rPr>
        <w:t>技术情报</w:t>
      </w:r>
      <w:r>
        <w:rPr>
          <w:rFonts w:hint="eastAsia" w:asciiTheme="minorEastAsia" w:hAnsiTheme="minorEastAsia" w:eastAsiaTheme="minorEastAsia"/>
          <w:sz w:val="24"/>
        </w:rPr>
        <w:t>、</w:t>
      </w:r>
      <w:r>
        <w:rPr>
          <w:rFonts w:asciiTheme="minorEastAsia" w:hAnsiTheme="minorEastAsia" w:eastAsiaTheme="minorEastAsia"/>
          <w:sz w:val="24"/>
        </w:rPr>
        <w:t>技术资料</w:t>
      </w:r>
      <w:r>
        <w:rPr>
          <w:rFonts w:hint="eastAsia" w:asciiTheme="minorEastAsia" w:hAnsiTheme="minorEastAsia" w:eastAsiaTheme="minorEastAsia"/>
          <w:sz w:val="24"/>
        </w:rPr>
        <w:t>、商业秘密和商业信息等，并采取一切合理和必要措施和方式防止任何第三方接触到对方当事人的上述保密信息和资料。</w:t>
      </w:r>
    </w:p>
    <w:p>
      <w:pPr>
        <w:spacing w:line="360" w:lineRule="auto"/>
        <w:ind w:firstLine="437"/>
        <w:outlineLvl w:val="2"/>
        <w:rPr>
          <w:rFonts w:asciiTheme="minorEastAsia" w:hAnsiTheme="minorEastAsia" w:eastAsiaTheme="minorEastAsia"/>
          <w:b/>
          <w:bCs/>
          <w:sz w:val="24"/>
          <w:lang w:val="zh-CN"/>
        </w:rPr>
      </w:pPr>
      <w:bookmarkStart w:id="181" w:name="_Toc7860"/>
      <w:r>
        <w:rPr>
          <w:rFonts w:asciiTheme="minorEastAsia" w:hAnsiTheme="minorEastAsia" w:eastAsiaTheme="minorEastAsia"/>
          <w:b/>
          <w:bCs/>
          <w:sz w:val="24"/>
          <w:lang w:val="zh-CN"/>
        </w:rPr>
        <w:t>2.8 质量保证</w:t>
      </w:r>
      <w:bookmarkEnd w:id="181"/>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2.8.1乙方应建立和完善履行合同的内部质量保证体系，并提供相关内部规章制度给甲方，以便甲方进行监督检查；</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2.8.2乙方应保证履行合同的人员数量和素质、软件和硬件设备的配置、场地、环境和设施等满足全面履行合同的要求，并应接受甲方的监督检查。</w:t>
      </w:r>
    </w:p>
    <w:p>
      <w:pPr>
        <w:spacing w:line="360" w:lineRule="auto"/>
        <w:ind w:firstLine="437"/>
        <w:outlineLvl w:val="2"/>
        <w:rPr>
          <w:rFonts w:asciiTheme="minorEastAsia" w:hAnsiTheme="minorEastAsia" w:eastAsiaTheme="minorEastAsia"/>
          <w:b/>
          <w:bCs/>
          <w:sz w:val="24"/>
          <w:lang w:val="zh-CN"/>
        </w:rPr>
      </w:pPr>
      <w:bookmarkStart w:id="182" w:name="_Toc17244"/>
      <w:bookmarkStart w:id="183" w:name="_Toc279701252"/>
      <w:bookmarkStart w:id="184" w:name="_Toc259093681"/>
      <w:bookmarkStart w:id="185" w:name="_Toc487900362"/>
      <w:r>
        <w:rPr>
          <w:rFonts w:asciiTheme="minorEastAsia" w:hAnsiTheme="minorEastAsia" w:eastAsiaTheme="minorEastAsia"/>
          <w:b/>
          <w:bCs/>
          <w:sz w:val="24"/>
          <w:lang w:val="zh-CN"/>
        </w:rPr>
        <w:t>2.9 货物的风险负担</w:t>
      </w:r>
      <w:bookmarkEnd w:id="182"/>
    </w:p>
    <w:p>
      <w:pPr>
        <w:spacing w:line="360" w:lineRule="auto"/>
        <w:ind w:firstLine="435"/>
        <w:rPr>
          <w:rFonts w:asciiTheme="minorEastAsia" w:hAnsiTheme="minorEastAsia" w:eastAsiaTheme="minorEastAsia"/>
          <w:b/>
          <w:sz w:val="24"/>
        </w:rPr>
      </w:pPr>
      <w:r>
        <w:rPr>
          <w:rFonts w:hint="eastAsia" w:asciiTheme="minorEastAsia" w:hAnsiTheme="minorEastAsia" w:eastAsiaTheme="minorEastAsia"/>
          <w:sz w:val="24"/>
        </w:rPr>
        <w:t>货物或者在途货物或者交付给第一承运人后的货物毁损、灭失的风险负担</w:t>
      </w:r>
      <w:r>
        <w:rPr>
          <w:rFonts w:asciiTheme="minorEastAsia" w:hAnsiTheme="minorEastAsia" w:eastAsiaTheme="minorEastAsia"/>
          <w:sz w:val="24"/>
        </w:rPr>
        <w:t>详见</w:t>
      </w:r>
      <w:r>
        <w:rPr>
          <w:rFonts w:asciiTheme="minorEastAsia" w:hAnsiTheme="minorEastAsia" w:eastAsiaTheme="minorEastAsia"/>
          <w:b/>
          <w:i/>
          <w:sz w:val="24"/>
          <w:u w:val="single"/>
        </w:rPr>
        <w:t>合同专用条款</w:t>
      </w:r>
      <w:r>
        <w:rPr>
          <w:rFonts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186" w:name="_Toc14055"/>
      <w:r>
        <w:rPr>
          <w:rFonts w:asciiTheme="minorEastAsia" w:hAnsiTheme="minorEastAsia" w:eastAsiaTheme="minorEastAsia"/>
          <w:b/>
          <w:bCs/>
          <w:sz w:val="24"/>
          <w:lang w:val="zh-CN"/>
        </w:rPr>
        <w:t>2.10 延迟交货</w:t>
      </w:r>
      <w:bookmarkEnd w:id="183"/>
      <w:bookmarkEnd w:id="184"/>
      <w:bookmarkEnd w:id="185"/>
      <w:bookmarkEnd w:id="186"/>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在合同履行过程中，如果乙方遇到不能按时交付货物的情况，应及时以书面形式将不能按时</w:t>
      </w:r>
      <w:r>
        <w:rPr>
          <w:rFonts w:hint="eastAsia" w:asciiTheme="minorEastAsia" w:hAnsiTheme="minorEastAsia" w:eastAsiaTheme="minorEastAsia"/>
          <w:sz w:val="24"/>
        </w:rPr>
        <w:t>交付货物</w:t>
      </w:r>
      <w:r>
        <w:rPr>
          <w:rFonts w:asciiTheme="minorEastAsia" w:hAnsiTheme="minorEastAsia" w:eastAsiaTheme="minorEastAsia"/>
          <w:sz w:val="24"/>
        </w:rPr>
        <w:t>的理由、预期延误时间通知甲方</w:t>
      </w:r>
      <w:r>
        <w:rPr>
          <w:rFonts w:hint="eastAsia" w:asciiTheme="minorEastAsia" w:hAnsiTheme="minorEastAsia" w:eastAsiaTheme="minorEastAsia"/>
          <w:sz w:val="24"/>
        </w:rPr>
        <w:t>；甲</w:t>
      </w:r>
      <w:r>
        <w:rPr>
          <w:rFonts w:asciiTheme="minorEastAsia" w:hAnsiTheme="minorEastAsia" w:eastAsiaTheme="minorEastAsia"/>
          <w:sz w:val="24"/>
        </w:rPr>
        <w:t>方收到乙方通知后，认为其理由正当的，可以书面形式酌情同意乙方可以延长交货的具体时间。</w:t>
      </w:r>
    </w:p>
    <w:p>
      <w:pPr>
        <w:spacing w:line="360" w:lineRule="auto"/>
        <w:ind w:firstLine="437"/>
        <w:outlineLvl w:val="2"/>
        <w:rPr>
          <w:rFonts w:asciiTheme="minorEastAsia" w:hAnsiTheme="minorEastAsia" w:eastAsiaTheme="minorEastAsia"/>
          <w:b/>
          <w:bCs/>
          <w:sz w:val="24"/>
          <w:lang w:val="zh-CN"/>
        </w:rPr>
      </w:pPr>
      <w:bookmarkStart w:id="187" w:name="_Toc7502"/>
      <w:bookmarkStart w:id="188" w:name="_Toc487900364"/>
      <w:bookmarkStart w:id="189" w:name="_Toc259093683"/>
      <w:bookmarkStart w:id="190" w:name="_Ref467378121"/>
      <w:bookmarkStart w:id="191" w:name="_Toc279701254"/>
      <w:r>
        <w:rPr>
          <w:rFonts w:asciiTheme="minorEastAsia" w:hAnsiTheme="minorEastAsia" w:eastAsiaTheme="minorEastAsia"/>
          <w:b/>
          <w:bCs/>
          <w:sz w:val="24"/>
          <w:lang w:val="zh-CN"/>
        </w:rPr>
        <w:t>2.11 合同变更</w:t>
      </w:r>
      <w:bookmarkEnd w:id="187"/>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2.11.1双方当事人协商一致，可以签订书面补充合同的形式变更合同，但不得违背采购文件确定的事项；</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2.11.2合同继续履行将损害国家利益和社会公共利益的，双方当事人应当以书面形式变更合同。有过错的一方应当承担赔偿责任，双方当事人都有过错的，各自承担相应的责任。</w:t>
      </w:r>
      <w:bookmarkStart w:id="192" w:name="_Toc279701259"/>
      <w:bookmarkStart w:id="193" w:name="_Toc259093688"/>
      <w:bookmarkStart w:id="194" w:name="_Toc487900369"/>
    </w:p>
    <w:p>
      <w:pPr>
        <w:spacing w:line="360" w:lineRule="auto"/>
        <w:ind w:firstLine="437"/>
        <w:outlineLvl w:val="2"/>
        <w:rPr>
          <w:rFonts w:asciiTheme="minorEastAsia" w:hAnsiTheme="minorEastAsia" w:eastAsiaTheme="minorEastAsia"/>
          <w:b/>
          <w:bCs/>
          <w:sz w:val="24"/>
          <w:lang w:val="zh-CN"/>
        </w:rPr>
      </w:pPr>
      <w:bookmarkStart w:id="195" w:name="_Toc15237"/>
      <w:bookmarkStart w:id="196" w:name="_Toc22955"/>
      <w:bookmarkStart w:id="197" w:name="_Toc10366"/>
      <w:r>
        <w:rPr>
          <w:rFonts w:hint="eastAsia" w:asciiTheme="minorEastAsia" w:hAnsiTheme="minorEastAsia" w:eastAsiaTheme="minorEastAsia"/>
          <w:b/>
          <w:bCs/>
          <w:sz w:val="24"/>
          <w:lang w:val="zh-CN"/>
        </w:rPr>
        <w:t xml:space="preserve">2.12 </w:t>
      </w:r>
      <w:r>
        <w:rPr>
          <w:rFonts w:asciiTheme="minorEastAsia" w:hAnsiTheme="minorEastAsia" w:eastAsiaTheme="minorEastAsia"/>
          <w:b/>
          <w:bCs/>
          <w:sz w:val="24"/>
          <w:lang w:val="zh-CN"/>
        </w:rPr>
        <w:t>合同转让</w:t>
      </w:r>
      <w:bookmarkEnd w:id="192"/>
      <w:bookmarkEnd w:id="193"/>
      <w:bookmarkEnd w:id="194"/>
      <w:r>
        <w:rPr>
          <w:rFonts w:asciiTheme="minorEastAsia" w:hAnsiTheme="minorEastAsia" w:eastAsiaTheme="minorEastAsia"/>
          <w:b/>
          <w:bCs/>
          <w:sz w:val="24"/>
          <w:lang w:val="zh-CN"/>
        </w:rPr>
        <w:t>和分包</w:t>
      </w:r>
      <w:bookmarkEnd w:id="195"/>
      <w:bookmarkEnd w:id="196"/>
      <w:bookmarkEnd w:id="197"/>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合同的权利义务依法不</w:t>
      </w:r>
      <w:r>
        <w:rPr>
          <w:rFonts w:hint="eastAsia" w:asciiTheme="minorEastAsia" w:hAnsiTheme="minorEastAsia" w:eastAsiaTheme="minorEastAsia"/>
          <w:sz w:val="24"/>
        </w:rPr>
        <w:t>得</w:t>
      </w:r>
      <w:r>
        <w:rPr>
          <w:rFonts w:asciiTheme="minorEastAsia" w:hAnsiTheme="minorEastAsia" w:eastAsiaTheme="minorEastAsia"/>
          <w:sz w:val="24"/>
        </w:rPr>
        <w:t>转让</w:t>
      </w:r>
      <w:r>
        <w:rPr>
          <w:rFonts w:hint="eastAsia" w:asciiTheme="minorEastAsia" w:hAnsiTheme="minorEastAsia" w:eastAsiaTheme="minorEastAsia"/>
          <w:sz w:val="24"/>
        </w:rPr>
        <w:t>，</w:t>
      </w:r>
      <w:r>
        <w:rPr>
          <w:rFonts w:asciiTheme="minorEastAsia" w:hAnsiTheme="minorEastAsia" w:eastAsiaTheme="minorEastAsia"/>
          <w:sz w:val="24"/>
        </w:rPr>
        <w:t>但经甲方</w:t>
      </w:r>
      <w:r>
        <w:rPr>
          <w:rFonts w:hint="eastAsia" w:asciiTheme="minorEastAsia" w:hAnsiTheme="minorEastAsia" w:eastAsiaTheme="minorEastAsia"/>
          <w:sz w:val="24"/>
        </w:rPr>
        <w:t>同意，乙方可以依法采取分包方式履行合同，即：依法可以</w:t>
      </w:r>
      <w:r>
        <w:rPr>
          <w:rFonts w:asciiTheme="minorEastAsia" w:hAnsiTheme="minorEastAsia" w:eastAsiaTheme="minorEastAsia"/>
          <w:sz w:val="24"/>
        </w:rPr>
        <w:t>将合同项下的部分非主体、非关键性工作分包给他人完成</w:t>
      </w:r>
      <w:r>
        <w:rPr>
          <w:rFonts w:hint="eastAsia" w:asciiTheme="minorEastAsia" w:hAnsiTheme="minorEastAsia" w:eastAsiaTheme="minorEastAsia"/>
          <w:sz w:val="24"/>
        </w:rPr>
        <w:t>，</w:t>
      </w:r>
      <w:r>
        <w:rPr>
          <w:rFonts w:asciiTheme="minorEastAsia" w:hAnsiTheme="minorEastAsia" w:eastAsiaTheme="minorEastAsia"/>
          <w:sz w:val="24"/>
        </w:rPr>
        <w:t>接受分包的人应当具备相应的资格条件，并不得再次分包</w:t>
      </w:r>
      <w:r>
        <w:rPr>
          <w:rFonts w:hint="eastAsia" w:asciiTheme="minorEastAsia" w:hAnsiTheme="minorEastAsia" w:eastAsiaTheme="minorEastAsia"/>
          <w:sz w:val="24"/>
        </w:rPr>
        <w:t>，</w:t>
      </w:r>
      <w:r>
        <w:rPr>
          <w:rFonts w:asciiTheme="minorEastAsia" w:hAnsiTheme="minorEastAsia" w:eastAsiaTheme="minorEastAsia"/>
          <w:sz w:val="24"/>
        </w:rPr>
        <w:t>且乙方应就分包项目向甲方负责</w:t>
      </w:r>
      <w:r>
        <w:rPr>
          <w:rFonts w:hint="eastAsia" w:asciiTheme="minorEastAsia" w:hAnsiTheme="minorEastAsia" w:eastAsiaTheme="minorEastAsia"/>
          <w:sz w:val="24"/>
        </w:rPr>
        <w:t>，</w:t>
      </w:r>
      <w:r>
        <w:rPr>
          <w:rFonts w:asciiTheme="minorEastAsia" w:hAnsiTheme="minorEastAsia" w:eastAsiaTheme="minorEastAsia"/>
          <w:sz w:val="24"/>
        </w:rPr>
        <w:t>并</w:t>
      </w:r>
      <w:r>
        <w:rPr>
          <w:rFonts w:hint="eastAsia" w:asciiTheme="minorEastAsia" w:hAnsiTheme="minorEastAsia" w:eastAsiaTheme="minorEastAsia"/>
          <w:sz w:val="24"/>
        </w:rPr>
        <w:t>与分包供应商就分包项目向甲方承担连带责任。</w:t>
      </w:r>
    </w:p>
    <w:p>
      <w:pPr>
        <w:spacing w:line="360" w:lineRule="auto"/>
        <w:ind w:firstLine="437"/>
        <w:outlineLvl w:val="2"/>
        <w:rPr>
          <w:rFonts w:asciiTheme="minorEastAsia" w:hAnsiTheme="minorEastAsia" w:eastAsiaTheme="minorEastAsia"/>
          <w:b/>
          <w:bCs/>
          <w:sz w:val="24"/>
          <w:lang w:val="zh-CN"/>
        </w:rPr>
      </w:pPr>
      <w:bookmarkStart w:id="198" w:name="_Toc14066"/>
      <w:bookmarkStart w:id="199" w:name="_Toc13566"/>
      <w:bookmarkStart w:id="200" w:name="_Toc16508"/>
      <w:r>
        <w:rPr>
          <w:rFonts w:hint="eastAsia" w:asciiTheme="minorEastAsia" w:hAnsiTheme="minorEastAsia" w:eastAsiaTheme="minorEastAsia"/>
          <w:b/>
          <w:bCs/>
          <w:sz w:val="24"/>
          <w:lang w:val="zh-CN"/>
        </w:rPr>
        <w:t>2.13</w:t>
      </w:r>
      <w:r>
        <w:rPr>
          <w:rFonts w:asciiTheme="minorEastAsia" w:hAnsiTheme="minorEastAsia" w:eastAsiaTheme="minorEastAsia"/>
          <w:b/>
          <w:bCs/>
          <w:sz w:val="24"/>
          <w:lang w:val="zh-CN"/>
        </w:rPr>
        <w:t xml:space="preserve"> 不可抗力</w:t>
      </w:r>
      <w:bookmarkEnd w:id="198"/>
      <w:bookmarkEnd w:id="199"/>
      <w:bookmarkEnd w:id="200"/>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2.13</w:t>
      </w:r>
      <w:r>
        <w:rPr>
          <w:rFonts w:asciiTheme="minorEastAsia" w:hAnsiTheme="minorEastAsia" w:eastAsiaTheme="minorEastAsia"/>
          <w:sz w:val="24"/>
        </w:rPr>
        <w:t>.1如果任何一方遭遇法律规定的不可抗力，致使合同履行受阻时，履行合同的期限应予延长，延长的期限应相当于不可抗力所影响的时间</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2.13.2因不可抗力致使不能实现合同目的的，当事人可以解除合同；</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2.13.3因</w:t>
      </w:r>
      <w:r>
        <w:rPr>
          <w:rFonts w:asciiTheme="minorEastAsia" w:hAnsiTheme="minorEastAsia" w:eastAsiaTheme="minorEastAsia"/>
          <w:sz w:val="24"/>
        </w:rPr>
        <w:t>不可抗力致使合同有变更必要的，双方当事人应在</w:t>
      </w:r>
      <w:r>
        <w:rPr>
          <w:rFonts w:asciiTheme="minorEastAsia" w:hAnsiTheme="minorEastAsia" w:eastAsiaTheme="minorEastAsia"/>
          <w:b/>
          <w:i/>
          <w:sz w:val="24"/>
          <w:u w:val="single"/>
        </w:rPr>
        <w:t>合同专用条款</w:t>
      </w:r>
      <w:r>
        <w:rPr>
          <w:rFonts w:asciiTheme="minorEastAsia" w:hAnsiTheme="minorEastAsia" w:eastAsiaTheme="minorEastAsia"/>
          <w:sz w:val="24"/>
        </w:rPr>
        <w:t>约定时间内以书面形式变更合同</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2.13</w:t>
      </w:r>
      <w:r>
        <w:rPr>
          <w:rFonts w:asciiTheme="minorEastAsia" w:hAnsiTheme="minorEastAsia" w:eastAsiaTheme="minorEastAsia"/>
          <w:sz w:val="24"/>
        </w:rPr>
        <w:t>.</w:t>
      </w:r>
      <w:r>
        <w:rPr>
          <w:rFonts w:hint="eastAsia" w:asciiTheme="minorEastAsia" w:hAnsiTheme="minorEastAsia" w:eastAsiaTheme="minorEastAsia"/>
          <w:sz w:val="24"/>
        </w:rPr>
        <w:t>4</w:t>
      </w:r>
      <w:r>
        <w:rPr>
          <w:rFonts w:asciiTheme="minorEastAsia" w:hAnsiTheme="minorEastAsia" w:eastAsiaTheme="minorEastAsia"/>
          <w:sz w:val="24"/>
        </w:rPr>
        <w:t>受</w:t>
      </w:r>
      <w:r>
        <w:rPr>
          <w:rFonts w:hint="eastAsia" w:asciiTheme="minorEastAsia" w:hAnsiTheme="minorEastAsia" w:eastAsiaTheme="minorEastAsia"/>
          <w:sz w:val="24"/>
        </w:rPr>
        <w:t>不可抗力</w:t>
      </w:r>
      <w:r>
        <w:rPr>
          <w:rFonts w:asciiTheme="minorEastAsia" w:hAnsiTheme="minorEastAsia" w:eastAsiaTheme="minorEastAsia"/>
          <w:sz w:val="24"/>
        </w:rPr>
        <w:t>影响的一方在不可抗力发生后</w:t>
      </w:r>
      <w:r>
        <w:rPr>
          <w:rFonts w:hint="eastAsia" w:asciiTheme="minorEastAsia" w:hAnsiTheme="minorEastAsia" w:eastAsiaTheme="minorEastAsia"/>
          <w:sz w:val="24"/>
        </w:rPr>
        <w:t>，</w:t>
      </w:r>
      <w:r>
        <w:rPr>
          <w:rFonts w:asciiTheme="minorEastAsia" w:hAnsiTheme="minorEastAsia" w:eastAsiaTheme="minorEastAsia"/>
          <w:sz w:val="24"/>
        </w:rPr>
        <w:t>应在</w:t>
      </w:r>
      <w:r>
        <w:rPr>
          <w:rFonts w:asciiTheme="minorEastAsia" w:hAnsiTheme="minorEastAsia" w:eastAsiaTheme="minorEastAsia"/>
          <w:b/>
          <w:i/>
          <w:sz w:val="24"/>
          <w:u w:val="single"/>
        </w:rPr>
        <w:t>合同专用条款</w:t>
      </w:r>
      <w:r>
        <w:rPr>
          <w:rFonts w:asciiTheme="minorEastAsia" w:hAnsiTheme="minorEastAsia" w:eastAsiaTheme="minorEastAsia"/>
          <w:sz w:val="24"/>
        </w:rPr>
        <w:t>约定时间内以书面形式通知</w:t>
      </w:r>
      <w:r>
        <w:rPr>
          <w:rFonts w:hint="eastAsia" w:asciiTheme="minorEastAsia" w:hAnsiTheme="minorEastAsia" w:eastAsiaTheme="minorEastAsia"/>
          <w:sz w:val="24"/>
        </w:rPr>
        <w:t>对</w:t>
      </w:r>
      <w:r>
        <w:rPr>
          <w:rFonts w:asciiTheme="minorEastAsia" w:hAnsiTheme="minorEastAsia" w:eastAsiaTheme="minorEastAsia"/>
          <w:sz w:val="24"/>
        </w:rPr>
        <w:t>方当事人，并在</w:t>
      </w:r>
      <w:r>
        <w:rPr>
          <w:rFonts w:asciiTheme="minorEastAsia" w:hAnsiTheme="minorEastAsia" w:eastAsiaTheme="minorEastAsia"/>
          <w:b/>
          <w:i/>
          <w:sz w:val="24"/>
          <w:u w:val="single"/>
        </w:rPr>
        <w:t>合同专用条款</w:t>
      </w:r>
      <w:r>
        <w:rPr>
          <w:rFonts w:asciiTheme="minorEastAsia" w:hAnsiTheme="minorEastAsia" w:eastAsiaTheme="minorEastAsia"/>
          <w:sz w:val="24"/>
        </w:rPr>
        <w:t>约定时间内，将有关部门出具的证明文件送达</w:t>
      </w:r>
      <w:r>
        <w:rPr>
          <w:rFonts w:hint="eastAsia" w:asciiTheme="minorEastAsia" w:hAnsiTheme="minorEastAsia" w:eastAsiaTheme="minorEastAsia"/>
          <w:sz w:val="24"/>
        </w:rPr>
        <w:t>对方当事人</w:t>
      </w:r>
      <w:r>
        <w:rPr>
          <w:rFonts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201" w:name="_Toc487900365"/>
      <w:bookmarkStart w:id="202" w:name="_Toc689"/>
      <w:bookmarkStart w:id="203" w:name="_Toc30676"/>
      <w:bookmarkStart w:id="204" w:name="_Toc259093684"/>
      <w:bookmarkStart w:id="205" w:name="_Toc6969"/>
      <w:bookmarkStart w:id="206" w:name="_Toc279701255"/>
      <w:r>
        <w:rPr>
          <w:rFonts w:hint="eastAsia" w:asciiTheme="minorEastAsia" w:hAnsiTheme="minorEastAsia" w:eastAsiaTheme="minorEastAsia"/>
          <w:b/>
          <w:bCs/>
          <w:sz w:val="24"/>
          <w:lang w:val="zh-CN"/>
        </w:rPr>
        <w:t>2.</w:t>
      </w:r>
      <w:r>
        <w:rPr>
          <w:rFonts w:asciiTheme="minorEastAsia" w:hAnsiTheme="minorEastAsia" w:eastAsiaTheme="minorEastAsia"/>
          <w:b/>
          <w:bCs/>
          <w:sz w:val="24"/>
          <w:lang w:val="zh-CN"/>
        </w:rPr>
        <w:t>1</w:t>
      </w:r>
      <w:r>
        <w:rPr>
          <w:rFonts w:hint="eastAsia" w:asciiTheme="minorEastAsia" w:hAnsiTheme="minorEastAsia" w:eastAsiaTheme="minorEastAsia"/>
          <w:b/>
          <w:bCs/>
          <w:sz w:val="24"/>
          <w:lang w:val="zh-CN"/>
        </w:rPr>
        <w:t xml:space="preserve">4 </w:t>
      </w:r>
      <w:r>
        <w:rPr>
          <w:rFonts w:asciiTheme="minorEastAsia" w:hAnsiTheme="minorEastAsia" w:eastAsiaTheme="minorEastAsia"/>
          <w:b/>
          <w:bCs/>
          <w:sz w:val="24"/>
          <w:lang w:val="zh-CN"/>
        </w:rPr>
        <w:t>税费</w:t>
      </w:r>
      <w:bookmarkEnd w:id="201"/>
      <w:bookmarkEnd w:id="202"/>
      <w:bookmarkEnd w:id="203"/>
      <w:bookmarkEnd w:id="204"/>
      <w:bookmarkEnd w:id="205"/>
      <w:bookmarkEnd w:id="206"/>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与合同有关的一切税费</w:t>
      </w:r>
      <w:r>
        <w:rPr>
          <w:rFonts w:hint="eastAsia" w:asciiTheme="minorEastAsia" w:hAnsiTheme="minorEastAsia" w:eastAsiaTheme="minorEastAsia"/>
          <w:sz w:val="24"/>
        </w:rPr>
        <w:t>，</w:t>
      </w:r>
      <w:r>
        <w:rPr>
          <w:rFonts w:asciiTheme="minorEastAsia" w:hAnsiTheme="minorEastAsia" w:eastAsiaTheme="minorEastAsia"/>
          <w:sz w:val="24"/>
        </w:rPr>
        <w:t>均按照中华人民共和国法律的相关规定</w:t>
      </w:r>
      <w:r>
        <w:rPr>
          <w:rFonts w:hint="eastAsia" w:asciiTheme="minorEastAsia" w:hAnsiTheme="minorEastAsia" w:eastAsiaTheme="minorEastAsia"/>
          <w:sz w:val="24"/>
        </w:rPr>
        <w:t>缴纳</w:t>
      </w:r>
      <w:r>
        <w:rPr>
          <w:rFonts w:asciiTheme="minorEastAsia" w:hAnsiTheme="minorEastAsia" w:eastAsiaTheme="minorEastAsia"/>
          <w:sz w:val="24"/>
        </w:rPr>
        <w:t>。</w:t>
      </w:r>
    </w:p>
    <w:p>
      <w:pPr>
        <w:spacing w:line="360" w:lineRule="auto"/>
        <w:ind w:firstLine="437"/>
        <w:outlineLvl w:val="2"/>
        <w:rPr>
          <w:rFonts w:asciiTheme="minorEastAsia" w:hAnsiTheme="minorEastAsia" w:eastAsiaTheme="minorEastAsia"/>
          <w:b/>
          <w:bCs/>
          <w:sz w:val="24"/>
          <w:lang w:val="zh-CN"/>
        </w:rPr>
      </w:pPr>
      <w:bookmarkStart w:id="207" w:name="_Toc259093687"/>
      <w:bookmarkStart w:id="208" w:name="_Toc16959"/>
      <w:bookmarkStart w:id="209" w:name="_Toc8298"/>
      <w:bookmarkStart w:id="210" w:name="_Toc7102"/>
      <w:bookmarkStart w:id="211" w:name="_Toc279701258"/>
      <w:bookmarkStart w:id="212" w:name="_Toc487900368"/>
      <w:r>
        <w:rPr>
          <w:rFonts w:hint="eastAsia" w:asciiTheme="minorEastAsia" w:hAnsiTheme="minorEastAsia" w:eastAsiaTheme="minorEastAsia"/>
          <w:b/>
          <w:bCs/>
          <w:sz w:val="24"/>
          <w:lang w:val="zh-CN"/>
        </w:rPr>
        <w:t>2.</w:t>
      </w:r>
      <w:r>
        <w:rPr>
          <w:rFonts w:asciiTheme="minorEastAsia" w:hAnsiTheme="minorEastAsia" w:eastAsiaTheme="minorEastAsia"/>
          <w:b/>
          <w:bCs/>
          <w:sz w:val="24"/>
          <w:lang w:val="zh-CN"/>
        </w:rPr>
        <w:t>1</w:t>
      </w:r>
      <w:r>
        <w:rPr>
          <w:rFonts w:hint="eastAsia" w:asciiTheme="minorEastAsia" w:hAnsiTheme="minorEastAsia" w:eastAsiaTheme="minorEastAsia"/>
          <w:b/>
          <w:bCs/>
          <w:sz w:val="24"/>
          <w:lang w:val="zh-CN"/>
        </w:rPr>
        <w:t xml:space="preserve">5 </w:t>
      </w:r>
      <w:r>
        <w:rPr>
          <w:rFonts w:asciiTheme="minorEastAsia" w:hAnsiTheme="minorEastAsia" w:eastAsiaTheme="minorEastAsia"/>
          <w:b/>
          <w:bCs/>
          <w:sz w:val="24"/>
          <w:lang w:val="zh-CN"/>
        </w:rPr>
        <w:t>乙方破产</w:t>
      </w:r>
      <w:bookmarkEnd w:id="207"/>
      <w:bookmarkEnd w:id="208"/>
      <w:bookmarkEnd w:id="209"/>
      <w:bookmarkEnd w:id="210"/>
      <w:bookmarkEnd w:id="211"/>
      <w:bookmarkEnd w:id="212"/>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如果乙方破产导致合同无法履行时，甲方可以书面形式通知乙方终止合同且不给予乙方任何补偿和赔偿</w:t>
      </w:r>
      <w:r>
        <w:rPr>
          <w:rFonts w:hint="eastAsia" w:asciiTheme="minorEastAsia" w:hAnsiTheme="minorEastAsia" w:eastAsiaTheme="minorEastAsia"/>
          <w:sz w:val="24"/>
        </w:rPr>
        <w:t>，但合同的</w:t>
      </w:r>
      <w:r>
        <w:rPr>
          <w:rFonts w:asciiTheme="minorEastAsia" w:hAnsiTheme="minorEastAsia" w:eastAsiaTheme="minorEastAsia"/>
          <w:sz w:val="24"/>
        </w:rPr>
        <w:t>终止不损害或不影响甲方已经采取或将要采取的任何要求乙方支付违约金</w:t>
      </w:r>
      <w:r>
        <w:rPr>
          <w:rFonts w:hint="eastAsia" w:asciiTheme="minorEastAsia" w:hAnsiTheme="minorEastAsia" w:eastAsiaTheme="minorEastAsia"/>
          <w:sz w:val="24"/>
        </w:rPr>
        <w:t>、</w:t>
      </w:r>
      <w:r>
        <w:rPr>
          <w:rFonts w:asciiTheme="minorEastAsia" w:hAnsiTheme="minorEastAsia" w:eastAsiaTheme="minorEastAsia"/>
          <w:sz w:val="24"/>
        </w:rPr>
        <w:t>赔偿损失等的行动或补救措施的权利</w:t>
      </w:r>
      <w:r>
        <w:rPr>
          <w:rFonts w:hint="eastAsia" w:asciiTheme="minorEastAsia" w:hAnsiTheme="minorEastAsia" w:eastAsiaTheme="minorEastAsia"/>
          <w:sz w:val="24"/>
        </w:rPr>
        <w:t>。</w:t>
      </w:r>
    </w:p>
    <w:p>
      <w:pPr>
        <w:spacing w:line="360" w:lineRule="auto"/>
        <w:ind w:firstLine="437"/>
        <w:outlineLvl w:val="2"/>
        <w:rPr>
          <w:rFonts w:asciiTheme="minorEastAsia" w:hAnsiTheme="minorEastAsia" w:eastAsiaTheme="minorEastAsia"/>
          <w:b/>
          <w:sz w:val="24"/>
        </w:rPr>
      </w:pPr>
      <w:bookmarkStart w:id="213" w:name="_Toc15387"/>
      <w:bookmarkStart w:id="214" w:name="_Toc6134"/>
      <w:bookmarkStart w:id="215" w:name="_Toc29333"/>
      <w:r>
        <w:rPr>
          <w:rFonts w:hint="eastAsia" w:asciiTheme="minorEastAsia" w:hAnsiTheme="minorEastAsia" w:eastAsiaTheme="minorEastAsia"/>
          <w:b/>
          <w:bCs/>
          <w:sz w:val="24"/>
          <w:lang w:val="zh-CN"/>
        </w:rPr>
        <w:t>2.16 合同中止、终止</w:t>
      </w:r>
      <w:bookmarkEnd w:id="213"/>
      <w:bookmarkEnd w:id="214"/>
      <w:bookmarkEnd w:id="215"/>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2.16.1双方当事人不得擅自中止或者终止合同；</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2.16.2合同继续履行将损害国家利益和社会公共利益的，双方当事人应当中止或者终止合同。有过错的一方应当承担赔偿责任，双方当事人都有过错的，各自承担相应的责任。</w:t>
      </w:r>
    </w:p>
    <w:p>
      <w:pPr>
        <w:spacing w:line="360" w:lineRule="auto"/>
        <w:ind w:firstLine="437"/>
        <w:outlineLvl w:val="2"/>
        <w:rPr>
          <w:rFonts w:asciiTheme="minorEastAsia" w:hAnsiTheme="minorEastAsia" w:eastAsiaTheme="minorEastAsia"/>
          <w:b/>
          <w:bCs/>
          <w:sz w:val="24"/>
          <w:lang w:val="zh-CN"/>
        </w:rPr>
      </w:pPr>
      <w:bookmarkStart w:id="216" w:name="_Toc6596"/>
      <w:bookmarkStart w:id="217" w:name="_Toc14563"/>
      <w:bookmarkStart w:id="218" w:name="_Toc1125"/>
      <w:r>
        <w:rPr>
          <w:rFonts w:hint="eastAsia" w:asciiTheme="minorEastAsia" w:hAnsiTheme="minorEastAsia" w:eastAsiaTheme="minorEastAsia"/>
          <w:b/>
          <w:bCs/>
          <w:sz w:val="24"/>
          <w:lang w:val="zh-CN"/>
        </w:rPr>
        <w:t>2.17 检验和验收</w:t>
      </w:r>
      <w:bookmarkEnd w:id="216"/>
      <w:bookmarkEnd w:id="217"/>
      <w:bookmarkEnd w:id="218"/>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1</w:t>
      </w:r>
      <w:r>
        <w:rPr>
          <w:rFonts w:hint="eastAsia" w:asciiTheme="minorEastAsia" w:hAnsiTheme="minorEastAsia" w:eastAsiaTheme="minorEastAsia"/>
          <w:sz w:val="24"/>
        </w:rPr>
        <w:t>7</w:t>
      </w:r>
      <w:r>
        <w:rPr>
          <w:rFonts w:asciiTheme="minorEastAsia" w:hAnsiTheme="minorEastAsia" w:eastAsiaTheme="minorEastAsia"/>
          <w:sz w:val="24"/>
        </w:rPr>
        <w:t>.</w:t>
      </w:r>
      <w:r>
        <w:rPr>
          <w:rFonts w:hint="eastAsia" w:asciiTheme="minorEastAsia" w:hAnsiTheme="minorEastAsia" w:eastAsiaTheme="minorEastAsia"/>
          <w:sz w:val="24"/>
        </w:rPr>
        <w:t>1货物交付前，乙方应对货物的质量、数量等方面进行详细、全面的检验，并向甲方出具证明货物符合合同约定的文件；货物交付时，乙方在</w:t>
      </w:r>
      <w:r>
        <w:rPr>
          <w:rFonts w:hint="eastAsia" w:asciiTheme="minorEastAsia" w:hAnsiTheme="minorEastAsia" w:eastAsiaTheme="minorEastAsia"/>
          <w:b/>
          <w:i/>
          <w:sz w:val="24"/>
          <w:u w:val="single"/>
        </w:rPr>
        <w:t>合同专用条款</w:t>
      </w:r>
      <w:r>
        <w:rPr>
          <w:rFonts w:hint="eastAsia" w:asciiTheme="minorEastAsia" w:hAnsiTheme="minorEastAsia" w:eastAsiaTheme="minorEastAsia"/>
          <w:sz w:val="24"/>
        </w:rPr>
        <w:t>约定时间内组织验收，并可依法邀请相关方参加，验收应出具验收书。</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2.17.2合同期满或者履行完毕后，甲方有权组织（包括依法邀请国家认可的质量检测机构参加）对乙方履约的验收，即：按照合同约定的技术、服务、安全标准，组织对每一项技术、服务、安全标准的履约情况的验收，并出具验收书。</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2.17.3检验和验收标准、程序等具体内容以及前述验收书的效力详见</w:t>
      </w:r>
      <w:r>
        <w:rPr>
          <w:rFonts w:asciiTheme="minorEastAsia" w:hAnsiTheme="minorEastAsia" w:eastAsiaTheme="minorEastAsia"/>
          <w:b/>
          <w:i/>
          <w:sz w:val="24"/>
          <w:u w:val="single"/>
        </w:rPr>
        <w:t>合同专用条款</w:t>
      </w:r>
      <w:r>
        <w:rPr>
          <w:rFonts w:hint="eastAsia" w:asciiTheme="minorEastAsia" w:hAnsiTheme="minorEastAsia" w:eastAsiaTheme="minorEastAsia"/>
          <w:i/>
          <w:sz w:val="24"/>
        </w:rPr>
        <w:t>。</w:t>
      </w:r>
    </w:p>
    <w:bookmarkEnd w:id="188"/>
    <w:bookmarkEnd w:id="189"/>
    <w:bookmarkEnd w:id="190"/>
    <w:bookmarkEnd w:id="191"/>
    <w:p>
      <w:pPr>
        <w:spacing w:line="360" w:lineRule="auto"/>
        <w:ind w:firstLine="437"/>
        <w:outlineLvl w:val="2"/>
        <w:rPr>
          <w:rFonts w:asciiTheme="minorEastAsia" w:hAnsiTheme="minorEastAsia" w:eastAsiaTheme="minorEastAsia"/>
          <w:b/>
          <w:sz w:val="24"/>
        </w:rPr>
      </w:pPr>
      <w:bookmarkStart w:id="219" w:name="_Toc259093691"/>
      <w:bookmarkStart w:id="220" w:name="_Toc30599"/>
      <w:bookmarkStart w:id="221" w:name="_Toc4355"/>
      <w:bookmarkStart w:id="222" w:name="_Toc18540"/>
      <w:bookmarkStart w:id="223" w:name="_Toc487900372"/>
      <w:bookmarkStart w:id="224" w:name="_Toc279701262"/>
      <w:r>
        <w:rPr>
          <w:rFonts w:hint="eastAsia" w:asciiTheme="minorEastAsia" w:hAnsiTheme="minorEastAsia" w:eastAsiaTheme="minorEastAsia"/>
          <w:b/>
          <w:bCs/>
          <w:sz w:val="24"/>
          <w:lang w:val="zh-CN"/>
        </w:rPr>
        <w:t>2.1</w:t>
      </w:r>
      <w:r>
        <w:rPr>
          <w:rFonts w:asciiTheme="minorEastAsia" w:hAnsiTheme="minorEastAsia" w:eastAsiaTheme="minorEastAsia"/>
          <w:b/>
          <w:bCs/>
          <w:sz w:val="24"/>
          <w:lang w:val="zh-CN"/>
        </w:rPr>
        <w:t>8</w:t>
      </w:r>
      <w:r>
        <w:rPr>
          <w:rFonts w:hint="eastAsia" w:asciiTheme="minorEastAsia" w:hAnsiTheme="minorEastAsia" w:eastAsiaTheme="minorEastAsia"/>
          <w:b/>
          <w:bCs/>
          <w:sz w:val="24"/>
          <w:lang w:val="zh-CN"/>
        </w:rPr>
        <w:t xml:space="preserve"> </w:t>
      </w:r>
      <w:r>
        <w:rPr>
          <w:rFonts w:asciiTheme="minorEastAsia" w:hAnsiTheme="minorEastAsia" w:eastAsiaTheme="minorEastAsia"/>
          <w:b/>
          <w:bCs/>
          <w:sz w:val="24"/>
          <w:lang w:val="zh-CN"/>
        </w:rPr>
        <w:t>计量单位</w:t>
      </w:r>
      <w:bookmarkEnd w:id="219"/>
      <w:bookmarkEnd w:id="220"/>
      <w:bookmarkEnd w:id="221"/>
      <w:bookmarkEnd w:id="222"/>
      <w:bookmarkEnd w:id="223"/>
      <w:bookmarkEnd w:id="224"/>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除技术规范中另有规定外,合同的计量单位均使用国家法定计量单位。</w:t>
      </w:r>
    </w:p>
    <w:p>
      <w:pPr>
        <w:spacing w:line="360" w:lineRule="auto"/>
        <w:ind w:firstLine="437"/>
        <w:outlineLvl w:val="2"/>
        <w:rPr>
          <w:rFonts w:asciiTheme="minorEastAsia" w:hAnsiTheme="minorEastAsia" w:eastAsiaTheme="minorEastAsia"/>
          <w:b/>
          <w:bCs/>
          <w:sz w:val="24"/>
        </w:rPr>
      </w:pPr>
      <w:bookmarkStart w:id="225" w:name="_Toc12773"/>
      <w:bookmarkStart w:id="226" w:name="_Toc10330"/>
      <w:bookmarkStart w:id="227" w:name="_Toc259093692"/>
      <w:bookmarkStart w:id="228" w:name="_Toc279701263"/>
      <w:bookmarkStart w:id="229" w:name="_Toc18567"/>
      <w:bookmarkStart w:id="230" w:name="_Toc487900373"/>
      <w:r>
        <w:rPr>
          <w:rFonts w:hint="eastAsia" w:asciiTheme="minorEastAsia" w:hAnsiTheme="minorEastAsia" w:eastAsiaTheme="minorEastAsia"/>
          <w:b/>
          <w:bCs/>
          <w:sz w:val="24"/>
        </w:rPr>
        <w:t>2.</w:t>
      </w:r>
      <w:r>
        <w:rPr>
          <w:rFonts w:asciiTheme="minorEastAsia" w:hAnsiTheme="minorEastAsia" w:eastAsiaTheme="minorEastAsia"/>
          <w:b/>
          <w:bCs/>
          <w:sz w:val="24"/>
        </w:rPr>
        <w:t>19</w:t>
      </w:r>
      <w:r>
        <w:rPr>
          <w:rFonts w:hint="eastAsia" w:asciiTheme="minorEastAsia" w:hAnsiTheme="minorEastAsia" w:eastAsiaTheme="minorEastAsia"/>
          <w:b/>
          <w:bCs/>
          <w:sz w:val="24"/>
        </w:rPr>
        <w:t xml:space="preserve"> </w:t>
      </w:r>
      <w:r>
        <w:rPr>
          <w:rFonts w:hint="eastAsia" w:asciiTheme="minorEastAsia" w:hAnsiTheme="minorEastAsia" w:eastAsiaTheme="minorEastAsia"/>
          <w:b/>
          <w:bCs/>
          <w:sz w:val="24"/>
          <w:lang w:val="zh-CN"/>
        </w:rPr>
        <w:t>合同使用的文字和</w:t>
      </w:r>
      <w:r>
        <w:rPr>
          <w:rFonts w:asciiTheme="minorEastAsia" w:hAnsiTheme="minorEastAsia" w:eastAsiaTheme="minorEastAsia"/>
          <w:b/>
          <w:bCs/>
          <w:sz w:val="24"/>
          <w:lang w:val="zh-CN"/>
        </w:rPr>
        <w:t>适用的法律</w:t>
      </w:r>
      <w:bookmarkEnd w:id="225"/>
      <w:bookmarkEnd w:id="226"/>
      <w:bookmarkEnd w:id="227"/>
      <w:bookmarkEnd w:id="228"/>
      <w:bookmarkEnd w:id="229"/>
      <w:bookmarkEnd w:id="230"/>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19.1合同使用汉语书就</w:t>
      </w:r>
      <w:r>
        <w:rPr>
          <w:rFonts w:hint="eastAsia" w:asciiTheme="minorEastAsia" w:hAnsiTheme="minorEastAsia" w:eastAsiaTheme="minorEastAsia"/>
          <w:sz w:val="24"/>
        </w:rPr>
        <w:t>、</w:t>
      </w:r>
      <w:r>
        <w:rPr>
          <w:rFonts w:asciiTheme="minorEastAsia" w:hAnsiTheme="minorEastAsia" w:eastAsiaTheme="minorEastAsia"/>
          <w:sz w:val="24"/>
        </w:rPr>
        <w:t>变更和解释</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19</w:t>
      </w:r>
      <w:r>
        <w:rPr>
          <w:rFonts w:hint="eastAsia" w:asciiTheme="minorEastAsia" w:hAnsiTheme="minorEastAsia" w:eastAsiaTheme="minorEastAsia"/>
          <w:sz w:val="24"/>
        </w:rPr>
        <w:t>.2合同适用</w:t>
      </w:r>
      <w:r>
        <w:rPr>
          <w:rFonts w:asciiTheme="minorEastAsia" w:hAnsiTheme="minorEastAsia" w:eastAsiaTheme="minorEastAsia"/>
          <w:sz w:val="24"/>
        </w:rPr>
        <w:t>中华人民共和国法律。</w:t>
      </w:r>
    </w:p>
    <w:p>
      <w:pPr>
        <w:spacing w:line="360" w:lineRule="auto"/>
        <w:ind w:firstLine="437"/>
        <w:outlineLvl w:val="2"/>
        <w:rPr>
          <w:rFonts w:asciiTheme="minorEastAsia" w:hAnsiTheme="minorEastAsia" w:eastAsiaTheme="minorEastAsia"/>
          <w:b/>
          <w:sz w:val="24"/>
        </w:rPr>
      </w:pPr>
      <w:bookmarkStart w:id="231" w:name="_Toc12004"/>
      <w:bookmarkStart w:id="232" w:name="_Toc259093693"/>
      <w:bookmarkStart w:id="233" w:name="_Toc3148"/>
      <w:bookmarkStart w:id="234" w:name="_Toc16673"/>
      <w:bookmarkStart w:id="235" w:name="_Toc279701264"/>
      <w:bookmarkStart w:id="236" w:name="_Toc487900374"/>
      <w:r>
        <w:rPr>
          <w:rFonts w:hint="eastAsia" w:asciiTheme="minorEastAsia" w:hAnsiTheme="minorEastAsia" w:eastAsiaTheme="minorEastAsia"/>
          <w:b/>
          <w:bCs/>
          <w:sz w:val="24"/>
          <w:lang w:val="zh-CN"/>
        </w:rPr>
        <w:t>2.2</w:t>
      </w:r>
      <w:r>
        <w:rPr>
          <w:rFonts w:asciiTheme="minorEastAsia" w:hAnsiTheme="minorEastAsia" w:eastAsiaTheme="minorEastAsia"/>
          <w:b/>
          <w:bCs/>
          <w:sz w:val="24"/>
          <w:lang w:val="zh-CN"/>
        </w:rPr>
        <w:t>0</w:t>
      </w:r>
      <w:r>
        <w:rPr>
          <w:rFonts w:hint="eastAsia" w:asciiTheme="minorEastAsia" w:hAnsiTheme="minorEastAsia" w:eastAsiaTheme="minorEastAsia"/>
          <w:b/>
          <w:bCs/>
          <w:sz w:val="24"/>
          <w:lang w:val="zh-CN"/>
        </w:rPr>
        <w:t xml:space="preserve"> </w:t>
      </w:r>
      <w:r>
        <w:rPr>
          <w:rFonts w:asciiTheme="minorEastAsia" w:hAnsiTheme="minorEastAsia" w:eastAsiaTheme="minorEastAsia"/>
          <w:b/>
          <w:bCs/>
          <w:sz w:val="24"/>
          <w:lang w:val="zh-CN"/>
        </w:rPr>
        <w:t>履约保证金</w:t>
      </w:r>
      <w:bookmarkEnd w:id="231"/>
      <w:bookmarkEnd w:id="232"/>
      <w:bookmarkEnd w:id="233"/>
      <w:bookmarkEnd w:id="234"/>
      <w:bookmarkEnd w:id="235"/>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2.2</w:t>
      </w:r>
      <w:r>
        <w:rPr>
          <w:rFonts w:asciiTheme="minorEastAsia" w:hAnsiTheme="minorEastAsia" w:eastAsiaTheme="minorEastAsia"/>
          <w:sz w:val="24"/>
        </w:rPr>
        <w:t>0</w:t>
      </w:r>
      <w:r>
        <w:rPr>
          <w:rFonts w:hint="eastAsia" w:asciiTheme="minorEastAsia" w:hAnsiTheme="minorEastAsia" w:eastAsiaTheme="minorEastAsia"/>
          <w:sz w:val="24"/>
        </w:rPr>
        <w:t>.1采购文件要求乙方提交履约保证金的，乙方</w:t>
      </w:r>
      <w:r>
        <w:rPr>
          <w:rFonts w:asciiTheme="minorEastAsia" w:hAnsiTheme="minorEastAsia" w:eastAsiaTheme="minorEastAsia"/>
          <w:sz w:val="24"/>
        </w:rPr>
        <w:t>应按</w:t>
      </w:r>
      <w:r>
        <w:rPr>
          <w:rFonts w:asciiTheme="minorEastAsia" w:hAnsiTheme="minorEastAsia" w:eastAsiaTheme="minorEastAsia"/>
          <w:b/>
          <w:i/>
          <w:sz w:val="24"/>
          <w:u w:val="single"/>
        </w:rPr>
        <w:t>合同专用条款</w:t>
      </w:r>
      <w:r>
        <w:rPr>
          <w:rFonts w:asciiTheme="minorEastAsia" w:hAnsiTheme="minorEastAsia" w:eastAsiaTheme="minorEastAsia"/>
          <w:sz w:val="24"/>
        </w:rPr>
        <w:t>约定的方式</w:t>
      </w:r>
      <w:r>
        <w:rPr>
          <w:rFonts w:hint="eastAsia" w:asciiTheme="minorEastAsia" w:hAnsiTheme="minorEastAsia" w:eastAsiaTheme="minorEastAsia"/>
          <w:sz w:val="24"/>
        </w:rPr>
        <w:t>，以支票、汇票、本票或者金融机构、担保机构出具的保函等非现金形式提交；</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2.2</w:t>
      </w:r>
      <w:r>
        <w:rPr>
          <w:rFonts w:asciiTheme="minorEastAsia" w:hAnsiTheme="minorEastAsia" w:eastAsiaTheme="minorEastAsia"/>
          <w:sz w:val="24"/>
        </w:rPr>
        <w:t>0.2</w:t>
      </w:r>
      <w:r>
        <w:rPr>
          <w:rFonts w:cs="Times New Roman" w:asciiTheme="minorEastAsia" w:hAnsiTheme="minorEastAsia" w:eastAsiaTheme="minorEastAsia"/>
          <w:color w:val="000000" w:themeColor="text1"/>
          <w:sz w:val="24"/>
          <w:szCs w:val="24"/>
          <w:highlight w:val="none"/>
          <w14:textFill>
            <w14:solidFill>
              <w14:schemeClr w14:val="tx1"/>
            </w14:solidFill>
          </w14:textFill>
        </w:rPr>
        <w:t>履约保证金在</w:t>
      </w:r>
      <w:r>
        <w:rPr>
          <w:rFonts w:cs="Times New Roman" w:asciiTheme="minorEastAsia" w:hAnsiTheme="minorEastAsia" w:eastAsiaTheme="minorEastAsia"/>
          <w:b/>
          <w:i/>
          <w:color w:val="000000" w:themeColor="text1"/>
          <w:sz w:val="24"/>
          <w:szCs w:val="24"/>
          <w:highlight w:val="none"/>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highlight w:val="none"/>
          <w14:textFill>
            <w14:solidFill>
              <w14:schemeClr w14:val="tx1"/>
            </w14:solidFill>
          </w14:textFill>
        </w:rPr>
        <w:t>约定期间内或者货物质量保证期内不予退还或者应完全有效</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，前述约定期间届满或者</w:t>
      </w:r>
      <w:r>
        <w:rPr>
          <w:rFonts w:cs="Times New Roman" w:asciiTheme="minorEastAsia" w:hAnsiTheme="minorEastAsia" w:eastAsiaTheme="minorEastAsia"/>
          <w:color w:val="000000" w:themeColor="text1"/>
          <w:sz w:val="24"/>
          <w:szCs w:val="24"/>
          <w:highlight w:val="none"/>
          <w14:textFill>
            <w14:solidFill>
              <w14:schemeClr w14:val="tx1"/>
            </w14:solidFill>
          </w14:textFill>
        </w:rPr>
        <w:t>货物质量保证期届满之日起</w:t>
      </w:r>
      <w:r>
        <w:rPr>
          <w:rFonts w:hint="eastAsia" w:cs="Times New Roman" w:asciiTheme="minorEastAsia" w:hAnsiTheme="minorEastAsia" w:eastAsiaTheme="minorEastAsia"/>
          <w:color w:val="000000" w:themeColor="text1"/>
          <w:sz w:val="24"/>
          <w:szCs w:val="24"/>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个</w:t>
      </w:r>
      <w:r>
        <w:rPr>
          <w:rFonts w:cs="Times New Roman" w:asciiTheme="minorEastAsia" w:hAnsiTheme="minorEastAsia" w:eastAsiaTheme="minorEastAsia"/>
          <w:color w:val="000000" w:themeColor="text1"/>
          <w:sz w:val="24"/>
          <w:szCs w:val="24"/>
          <w:highlight w:val="none"/>
          <w14:textFill>
            <w14:solidFill>
              <w14:schemeClr w14:val="tx1"/>
            </w14:solidFill>
          </w14:textFill>
        </w:rPr>
        <w:t>工作日内，甲方应将履约保证金退还乙方</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甲方</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应承担违约责任。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2.2</w:t>
      </w:r>
      <w:r>
        <w:rPr>
          <w:rFonts w:asciiTheme="minorEastAsia" w:hAnsiTheme="minorEastAsia" w:eastAsiaTheme="minorEastAsia"/>
          <w:sz w:val="24"/>
        </w:rPr>
        <w:t>0</w:t>
      </w:r>
      <w:r>
        <w:rPr>
          <w:rFonts w:hint="eastAsia" w:asciiTheme="minorEastAsia" w:hAnsiTheme="minorEastAsia" w:eastAsiaTheme="minorEastAsia"/>
          <w:sz w:val="24"/>
        </w:rPr>
        <w:t>.3</w:t>
      </w:r>
      <w:r>
        <w:rPr>
          <w:rFonts w:asciiTheme="minorEastAsia" w:hAnsiTheme="minorEastAsia" w:eastAsiaTheme="minorEastAsia"/>
          <w:sz w:val="24"/>
        </w:rPr>
        <w:t>如果乙方不履行合同</w:t>
      </w:r>
      <w:r>
        <w:rPr>
          <w:rFonts w:hint="eastAsia" w:asciiTheme="minorEastAsia" w:hAnsiTheme="minorEastAsia" w:eastAsiaTheme="minorEastAsia"/>
          <w:sz w:val="24"/>
        </w:rPr>
        <w:t>，履约保证金不予退还；如果乙方</w:t>
      </w:r>
      <w:r>
        <w:rPr>
          <w:rFonts w:asciiTheme="minorEastAsia" w:hAnsiTheme="minorEastAsia" w:eastAsiaTheme="minorEastAsia"/>
          <w:sz w:val="24"/>
        </w:rPr>
        <w:t>未能按合同</w:t>
      </w:r>
      <w:r>
        <w:rPr>
          <w:rFonts w:hint="eastAsia" w:asciiTheme="minorEastAsia" w:hAnsiTheme="minorEastAsia" w:eastAsiaTheme="minorEastAsia"/>
          <w:sz w:val="24"/>
        </w:rPr>
        <w:t>约</w:t>
      </w:r>
      <w:r>
        <w:rPr>
          <w:rFonts w:asciiTheme="minorEastAsia" w:hAnsiTheme="minorEastAsia" w:eastAsiaTheme="minorEastAsia"/>
          <w:sz w:val="24"/>
        </w:rPr>
        <w:t>定全面履行义务，那么甲方有权从履约保证金中取得补偿或赔偿</w:t>
      </w:r>
      <w:r>
        <w:rPr>
          <w:rFonts w:hint="eastAsia" w:asciiTheme="minorEastAsia" w:hAnsiTheme="minorEastAsia" w:eastAsiaTheme="minorEastAsia"/>
          <w:sz w:val="24"/>
        </w:rPr>
        <w:t>，同时不影响甲方要求乙方承担合同约定的超过履约保证金的违约责任的权利。</w:t>
      </w:r>
    </w:p>
    <w:bookmarkEnd w:id="236"/>
    <w:p>
      <w:pPr>
        <w:spacing w:line="360" w:lineRule="auto"/>
        <w:ind w:firstLine="437"/>
        <w:outlineLvl w:val="2"/>
        <w:rPr>
          <w:rFonts w:asciiTheme="minorEastAsia" w:hAnsiTheme="minorEastAsia" w:eastAsiaTheme="minorEastAsia"/>
          <w:b/>
          <w:sz w:val="24"/>
        </w:rPr>
      </w:pPr>
      <w:bookmarkStart w:id="237" w:name="_Toc6885"/>
      <w:bookmarkStart w:id="238" w:name="_Toc14001"/>
      <w:bookmarkStart w:id="239" w:name="_Toc19890"/>
      <w:r>
        <w:rPr>
          <w:rFonts w:hint="eastAsia" w:asciiTheme="minorEastAsia" w:hAnsiTheme="minorEastAsia" w:eastAsiaTheme="minorEastAsia"/>
          <w:b/>
          <w:bCs/>
          <w:sz w:val="24"/>
          <w:lang w:val="zh-CN"/>
        </w:rPr>
        <w:t>2.2</w:t>
      </w:r>
      <w:r>
        <w:rPr>
          <w:rFonts w:asciiTheme="minorEastAsia" w:hAnsiTheme="minorEastAsia" w:eastAsiaTheme="minorEastAsia"/>
          <w:b/>
          <w:bCs/>
          <w:sz w:val="24"/>
          <w:lang w:val="zh-CN"/>
        </w:rPr>
        <w:t>1</w:t>
      </w:r>
      <w:r>
        <w:rPr>
          <w:rFonts w:hint="eastAsia" w:asciiTheme="minorEastAsia" w:hAnsiTheme="minorEastAsia" w:eastAsiaTheme="minorEastAsia"/>
          <w:b/>
          <w:bCs/>
          <w:sz w:val="24"/>
          <w:lang w:val="zh-CN"/>
        </w:rPr>
        <w:t xml:space="preserve"> 合同份数</w:t>
      </w:r>
      <w:bookmarkEnd w:id="237"/>
      <w:bookmarkEnd w:id="238"/>
      <w:bookmarkEnd w:id="239"/>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合同份数按</w:t>
      </w:r>
      <w:r>
        <w:rPr>
          <w:rFonts w:asciiTheme="minorEastAsia" w:hAnsiTheme="minorEastAsia" w:eastAsiaTheme="minorEastAsia"/>
          <w:b/>
          <w:i/>
          <w:sz w:val="24"/>
          <w:u w:val="single"/>
        </w:rPr>
        <w:t>合同专用条款</w:t>
      </w:r>
      <w:r>
        <w:rPr>
          <w:rFonts w:asciiTheme="minorEastAsia" w:hAnsiTheme="minorEastAsia" w:eastAsiaTheme="minorEastAsia"/>
          <w:sz w:val="24"/>
        </w:rPr>
        <w:t>规定</w:t>
      </w:r>
      <w:r>
        <w:rPr>
          <w:rFonts w:hint="eastAsia" w:asciiTheme="minorEastAsia" w:hAnsiTheme="minorEastAsia" w:eastAsiaTheme="minorEastAsia"/>
          <w:sz w:val="24"/>
        </w:rPr>
        <w:t>，</w:t>
      </w:r>
      <w:r>
        <w:rPr>
          <w:rFonts w:asciiTheme="minorEastAsia" w:hAnsiTheme="minorEastAsia" w:eastAsiaTheme="minorEastAsia"/>
          <w:sz w:val="24"/>
        </w:rPr>
        <w:t>每份均具有同等法律效力</w:t>
      </w:r>
      <w:r>
        <w:rPr>
          <w:rFonts w:hint="eastAsia" w:asciiTheme="minorEastAsia" w:hAnsiTheme="minorEastAsia" w:eastAsiaTheme="minorEastAsia"/>
          <w:sz w:val="24"/>
        </w:rPr>
        <w:t>。</w:t>
      </w:r>
    </w:p>
    <w:p>
      <w:pPr>
        <w:spacing w:line="360" w:lineRule="auto"/>
        <w:jc w:val="center"/>
        <w:outlineLvl w:val="1"/>
        <w:rPr>
          <w:rFonts w:asciiTheme="minorEastAsia" w:hAnsiTheme="minorEastAsia" w:eastAsiaTheme="minorEastAsia"/>
          <w:b/>
          <w:sz w:val="24"/>
        </w:rPr>
      </w:pPr>
      <w:r>
        <w:rPr>
          <w:rFonts w:asciiTheme="minorEastAsia" w:hAnsiTheme="minorEastAsia" w:eastAsiaTheme="minorEastAsia"/>
          <w:sz w:val="24"/>
        </w:rPr>
        <w:br w:type="page"/>
      </w:r>
      <w:bookmarkStart w:id="240" w:name="_Toc331685784"/>
      <w:bookmarkStart w:id="241" w:name="_Toc14669"/>
      <w:r>
        <w:rPr>
          <w:rFonts w:hint="eastAsia" w:asciiTheme="minorEastAsia" w:hAnsiTheme="minorEastAsia" w:eastAsiaTheme="minorEastAsia"/>
          <w:b/>
          <w:sz w:val="24"/>
        </w:rPr>
        <w:t>第三部分</w:t>
      </w:r>
      <w:r>
        <w:rPr>
          <w:rFonts w:asciiTheme="minorEastAsia" w:hAnsiTheme="minorEastAsia" w:eastAsiaTheme="minorEastAsia"/>
          <w:b/>
          <w:sz w:val="24"/>
        </w:rPr>
        <w:t xml:space="preserve"> </w:t>
      </w:r>
      <w:r>
        <w:rPr>
          <w:rFonts w:hint="eastAsia" w:asciiTheme="minorEastAsia" w:hAnsiTheme="minorEastAsia" w:eastAsiaTheme="minorEastAsia"/>
          <w:b/>
          <w:sz w:val="24"/>
        </w:rPr>
        <w:t>合同专用条款</w:t>
      </w:r>
      <w:bookmarkEnd w:id="240"/>
      <w:bookmarkEnd w:id="241"/>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本部分</w:t>
      </w:r>
      <w:r>
        <w:rPr>
          <w:rFonts w:asciiTheme="minorEastAsia" w:hAnsiTheme="minorEastAsia" w:eastAsiaTheme="minorEastAsia"/>
          <w:sz w:val="24"/>
        </w:rPr>
        <w:t>是对</w:t>
      </w:r>
      <w:r>
        <w:rPr>
          <w:rFonts w:hint="eastAsia" w:asciiTheme="minorEastAsia" w:hAnsiTheme="minorEastAsia" w:eastAsiaTheme="minorEastAsia"/>
          <w:sz w:val="24"/>
        </w:rPr>
        <w:t>前两</w:t>
      </w:r>
      <w:r>
        <w:rPr>
          <w:rFonts w:asciiTheme="minorEastAsia" w:hAnsiTheme="minorEastAsia" w:eastAsiaTheme="minorEastAsia"/>
          <w:sz w:val="24"/>
        </w:rPr>
        <w:t>部分的补充和修改</w:t>
      </w:r>
      <w:r>
        <w:rPr>
          <w:rFonts w:hint="eastAsia" w:asciiTheme="minorEastAsia" w:hAnsiTheme="minorEastAsia" w:eastAsiaTheme="minorEastAsia"/>
          <w:sz w:val="24"/>
        </w:rPr>
        <w:t>，</w:t>
      </w:r>
      <w:r>
        <w:rPr>
          <w:rFonts w:asciiTheme="minorEastAsia" w:hAnsiTheme="minorEastAsia" w:eastAsiaTheme="minorEastAsia"/>
          <w:sz w:val="24"/>
        </w:rPr>
        <w:t>如果</w:t>
      </w:r>
      <w:r>
        <w:rPr>
          <w:rFonts w:hint="eastAsia" w:asciiTheme="minorEastAsia" w:hAnsiTheme="minorEastAsia" w:eastAsiaTheme="minorEastAsia"/>
          <w:sz w:val="24"/>
        </w:rPr>
        <w:t>前两</w:t>
      </w:r>
      <w:r>
        <w:rPr>
          <w:rFonts w:asciiTheme="minorEastAsia" w:hAnsiTheme="minorEastAsia" w:eastAsiaTheme="minorEastAsia"/>
          <w:sz w:val="24"/>
        </w:rPr>
        <w:t>部分和本部分的约定不一致</w:t>
      </w:r>
      <w:r>
        <w:rPr>
          <w:rFonts w:hint="eastAsia" w:asciiTheme="minorEastAsia" w:hAnsiTheme="minorEastAsia" w:eastAsiaTheme="minorEastAsia"/>
          <w:sz w:val="24"/>
        </w:rPr>
        <w:t>，</w:t>
      </w:r>
      <w:r>
        <w:rPr>
          <w:rFonts w:asciiTheme="minorEastAsia" w:hAnsiTheme="minorEastAsia" w:eastAsiaTheme="minorEastAsia"/>
          <w:sz w:val="24"/>
        </w:rPr>
        <w:t>应以本部分的约定为准</w:t>
      </w:r>
      <w:r>
        <w:rPr>
          <w:rFonts w:hint="eastAsia" w:asciiTheme="minorEastAsia" w:hAnsiTheme="minorEastAsia" w:eastAsiaTheme="minorEastAsia"/>
          <w:sz w:val="24"/>
        </w:rPr>
        <w:t>。</w:t>
      </w:r>
      <w:r>
        <w:rPr>
          <w:rFonts w:asciiTheme="minorEastAsia" w:hAnsiTheme="minorEastAsia" w:eastAsiaTheme="minorEastAsia"/>
          <w:sz w:val="24"/>
        </w:rPr>
        <w:t>本部分的条款号应与</w:t>
      </w:r>
      <w:r>
        <w:rPr>
          <w:rFonts w:hint="eastAsia" w:asciiTheme="minorEastAsia" w:hAnsiTheme="minorEastAsia" w:eastAsiaTheme="minorEastAsia"/>
          <w:sz w:val="24"/>
        </w:rPr>
        <w:t>前两部分</w:t>
      </w:r>
      <w:r>
        <w:rPr>
          <w:rFonts w:asciiTheme="minorEastAsia" w:hAnsiTheme="minorEastAsia" w:eastAsiaTheme="minorEastAsia"/>
          <w:sz w:val="24"/>
        </w:rPr>
        <w:t>的条款号保持对应</w:t>
      </w:r>
      <w:r>
        <w:rPr>
          <w:rFonts w:hint="eastAsia" w:asciiTheme="minorEastAsia" w:hAnsiTheme="minorEastAsia" w:eastAsiaTheme="minorEastAsia"/>
          <w:sz w:val="24"/>
        </w:rPr>
        <w:t>；与前两部分</w:t>
      </w:r>
      <w:r>
        <w:rPr>
          <w:rFonts w:asciiTheme="minorEastAsia" w:hAnsiTheme="minorEastAsia" w:eastAsiaTheme="minorEastAsia"/>
          <w:sz w:val="24"/>
        </w:rPr>
        <w:t>无对应关系的内容可另行编制条款号</w:t>
      </w:r>
      <w:r>
        <w:rPr>
          <w:rFonts w:hint="eastAsia" w:asciiTheme="minorEastAsia" w:hAnsiTheme="minorEastAsia" w:eastAsiaTheme="minorEastAsia"/>
          <w:sz w:val="24"/>
        </w:rPr>
        <w:t>。</w:t>
      </w:r>
    </w:p>
    <w:tbl>
      <w:tblPr>
        <w:tblStyle w:val="20"/>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873"/>
        <w:gridCol w:w="831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475" w:type="pct"/>
            <w:tcBorders>
              <w:left w:val="single" w:color="auto" w:sz="4" w:space="0"/>
            </w:tcBorders>
            <w:vAlign w:val="center"/>
          </w:tcPr>
          <w:p>
            <w:pPr>
              <w:jc w:val="center"/>
              <w:rPr>
                <w:rFonts w:asciiTheme="minorEastAsia" w:hAnsiTheme="minorEastAsia" w:eastAsiaTheme="minorEastAsia"/>
                <w:b/>
                <w:sz w:val="24"/>
              </w:rPr>
            </w:pPr>
            <w:r>
              <w:rPr>
                <w:rFonts w:asciiTheme="minorEastAsia" w:hAnsiTheme="minorEastAsia" w:eastAsiaTheme="minorEastAsia"/>
                <w:b/>
                <w:sz w:val="24"/>
              </w:rPr>
              <w:t>条款号</w:t>
            </w:r>
          </w:p>
        </w:tc>
        <w:tc>
          <w:tcPr>
            <w:tcW w:w="4525" w:type="pct"/>
            <w:vAlign w:val="center"/>
          </w:tcPr>
          <w:p>
            <w:pPr>
              <w:jc w:val="center"/>
              <w:rPr>
                <w:rFonts w:asciiTheme="minorEastAsia" w:hAnsiTheme="minorEastAsia" w:eastAsiaTheme="minorEastAsia"/>
                <w:b/>
                <w:sz w:val="24"/>
              </w:rPr>
            </w:pPr>
            <w:r>
              <w:rPr>
                <w:rFonts w:asciiTheme="minorEastAsia" w:hAnsiTheme="minorEastAsia" w:eastAsiaTheme="minorEastAsia"/>
                <w:b/>
                <w:sz w:val="24"/>
              </w:rPr>
              <w:t>约定内容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Theme="minorEastAsia" w:hAnsiTheme="minorEastAsia" w:eastAsiaTheme="minorEastAsia"/>
                <w:sz w:val="24"/>
              </w:rPr>
            </w:pPr>
          </w:p>
        </w:tc>
        <w:tc>
          <w:tcPr>
            <w:tcW w:w="4525" w:type="pct"/>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top w:val="single" w:color="auto" w:sz="6" w:space="0"/>
              <w:left w:val="single" w:color="auto" w:sz="4" w:space="0"/>
              <w:bottom w:val="single" w:color="auto" w:sz="6" w:space="0"/>
              <w:right w:val="single" w:color="auto" w:sz="6" w:space="0"/>
            </w:tcBorders>
            <w:vAlign w:val="center"/>
          </w:tcPr>
          <w:p>
            <w:pPr>
              <w:spacing w:line="560" w:lineRule="exact"/>
              <w:rPr>
                <w:rFonts w:asciiTheme="minorEastAsia" w:hAnsiTheme="minorEastAsia" w:eastAsiaTheme="minorEastAsia"/>
                <w:sz w:val="24"/>
              </w:rPr>
            </w:pPr>
          </w:p>
        </w:tc>
        <w:tc>
          <w:tcPr>
            <w:tcW w:w="4525" w:type="pct"/>
            <w:tcBorders>
              <w:top w:val="single" w:color="auto" w:sz="6" w:space="0"/>
              <w:left w:val="single" w:color="auto" w:sz="6" w:space="0"/>
              <w:bottom w:val="single" w:color="auto" w:sz="6" w:space="0"/>
              <w:right w:val="single" w:color="auto" w:sz="6" w:space="0"/>
            </w:tcBorders>
            <w:vAlign w:val="center"/>
          </w:tcPr>
          <w:p>
            <w:pPr>
              <w:spacing w:line="560" w:lineRule="exact"/>
              <w:rPr>
                <w:rFonts w:asciiTheme="minorEastAsia" w:hAnsiTheme="minorEastAsia" w:eastAsiaTheme="minorEastAsia"/>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top w:val="single" w:color="auto" w:sz="6" w:space="0"/>
              <w:left w:val="single" w:color="auto" w:sz="4" w:space="0"/>
              <w:bottom w:val="single" w:color="auto" w:sz="6" w:space="0"/>
              <w:right w:val="single" w:color="auto" w:sz="6" w:space="0"/>
            </w:tcBorders>
            <w:vAlign w:val="center"/>
          </w:tcPr>
          <w:p>
            <w:pPr>
              <w:spacing w:line="560" w:lineRule="exact"/>
              <w:rPr>
                <w:rFonts w:asciiTheme="minorEastAsia" w:hAnsiTheme="minorEastAsia" w:eastAsiaTheme="minorEastAsia"/>
                <w:sz w:val="24"/>
              </w:rPr>
            </w:pPr>
          </w:p>
        </w:tc>
        <w:tc>
          <w:tcPr>
            <w:tcW w:w="4525" w:type="pct"/>
            <w:tcBorders>
              <w:top w:val="single" w:color="auto" w:sz="6" w:space="0"/>
              <w:left w:val="single" w:color="auto" w:sz="6" w:space="0"/>
              <w:bottom w:val="single" w:color="auto" w:sz="6" w:space="0"/>
              <w:right w:val="single" w:color="auto" w:sz="6" w:space="0"/>
            </w:tcBorders>
            <w:vAlign w:val="center"/>
          </w:tcPr>
          <w:p>
            <w:pPr>
              <w:spacing w:line="560" w:lineRule="exact"/>
              <w:rPr>
                <w:rFonts w:asciiTheme="minorEastAsia" w:hAnsiTheme="minorEastAsia" w:eastAsiaTheme="minorEastAsia"/>
                <w:sz w:val="24"/>
              </w:rPr>
            </w:pPr>
          </w:p>
        </w:tc>
      </w:tr>
    </w:tbl>
    <w:p>
      <w:pPr>
        <w:spacing w:line="360" w:lineRule="auto"/>
        <w:rPr>
          <w:rFonts w:asciiTheme="minorEastAsia" w:hAnsiTheme="minorEastAsia" w:eastAsiaTheme="minorEastAsia" w:cstheme="minorEastAsia"/>
          <w:color w:val="auto"/>
          <w:sz w:val="28"/>
          <w:szCs w:val="27"/>
          <w:highlight w:val="none"/>
        </w:rPr>
      </w:pPr>
      <w:r>
        <w:rPr>
          <w:rFonts w:hint="eastAsia" w:asciiTheme="minorEastAsia" w:hAnsiTheme="minorEastAsia" w:eastAsiaTheme="minorEastAsia" w:cstheme="minorEastAsia"/>
          <w:color w:val="auto"/>
          <w:sz w:val="28"/>
          <w:szCs w:val="27"/>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242" w:name="_Toc2430"/>
      <w:bookmarkStart w:id="243" w:name="_Toc25148"/>
      <w:r>
        <w:rPr>
          <w:rFonts w:hint="eastAsia" w:asciiTheme="minorEastAsia" w:hAnsiTheme="minorEastAsia" w:eastAsiaTheme="minorEastAsia"/>
          <w:b/>
          <w:color w:val="auto"/>
          <w:sz w:val="28"/>
          <w:highlight w:val="none"/>
        </w:rPr>
        <w:t>第六章  响应文件格式</w:t>
      </w:r>
      <w:bookmarkEnd w:id="242"/>
      <w:bookmarkEnd w:id="243"/>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响</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应</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文</w:t>
      </w:r>
    </w:p>
    <w:p>
      <w:pPr>
        <w:spacing w:line="900" w:lineRule="exact"/>
        <w:jc w:val="center"/>
        <w:rPr>
          <w:rFonts w:asciiTheme="minorEastAsia" w:hAnsiTheme="minorEastAsia" w:eastAsiaTheme="minorEastAsia"/>
          <w:b/>
          <w:color w:val="auto"/>
          <w:sz w:val="72"/>
          <w:highlight w:val="none"/>
        </w:rPr>
      </w:pPr>
    </w:p>
    <w:p>
      <w:pPr>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件</w:t>
      </w:r>
    </w:p>
    <w:p>
      <w:pPr>
        <w:spacing w:after="156" w:afterLines="50"/>
        <w:jc w:val="center"/>
        <w:rPr>
          <w:rFonts w:asciiTheme="minorEastAsia" w:hAnsiTheme="minorEastAsia" w:eastAsiaTheme="minorEastAsia"/>
          <w:b/>
          <w:color w:val="auto"/>
          <w:sz w:val="72"/>
          <w:highlight w:val="none"/>
        </w:rPr>
      </w:pPr>
    </w:p>
    <w:p>
      <w:pPr>
        <w:pStyle w:val="8"/>
        <w:keepNext w:val="0"/>
        <w:keepLines w:val="0"/>
        <w:pageBreakBefore w:val="0"/>
        <w:widowControl w:val="0"/>
        <w:kinsoku/>
        <w:wordWrap/>
        <w:overflowPunct/>
        <w:topLinePunct w:val="0"/>
        <w:autoSpaceDE/>
        <w:autoSpaceDN/>
        <w:bidi w:val="0"/>
        <w:adjustRightInd/>
        <w:snapToGrid/>
        <w:spacing w:after="0" w:line="360" w:lineRule="auto"/>
        <w:ind w:firstLine="643" w:firstLineChars="200"/>
        <w:jc w:val="center"/>
        <w:textAlignment w:val="auto"/>
        <w:outlineLvl w:val="9"/>
        <w:rPr>
          <w:rFonts w:hint="default" w:ascii="宋体" w:hAnsi="宋体" w:eastAsia="宋体"/>
          <w:color w:val="auto"/>
          <w:sz w:val="24"/>
          <w:szCs w:val="18"/>
          <w:highlight w:val="none"/>
          <w:lang w:val="en-US" w:eastAsia="zh-CN"/>
        </w:rPr>
      </w:pPr>
      <w:bookmarkStart w:id="244" w:name="_Toc32506"/>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244"/>
      <w:r>
        <w:rPr>
          <w:rFonts w:hint="eastAsia" w:ascii="宋体" w:hAnsi="宋体" w:eastAsia="宋体" w:cs="@仿宋_GB2312"/>
          <w:b w:val="0"/>
          <w:bCs w:val="0"/>
          <w:i/>
          <w:iCs/>
          <w:color w:val="FF0000"/>
          <w:kern w:val="2"/>
          <w:sz w:val="24"/>
          <w:szCs w:val="18"/>
          <w:highlight w:val="none"/>
          <w:lang w:val="en-US" w:eastAsia="zh-CN" w:bidi="ar-SA"/>
        </w:rPr>
        <w:t>（如不分包，请删去本行）</w:t>
      </w:r>
    </w:p>
    <w:p>
      <w:pPr>
        <w:spacing w:after="156" w:afterLines="50" w:line="500" w:lineRule="exact"/>
        <w:jc w:val="both"/>
        <w:rPr>
          <w:rFonts w:asciiTheme="minorEastAsia" w:hAnsiTheme="minorEastAsia" w:eastAsiaTheme="minorEastAsia"/>
          <w:b/>
          <w:color w:val="auto"/>
          <w:sz w:val="72"/>
          <w:highlight w:val="yellow"/>
        </w:rPr>
      </w:pPr>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lang w:val="en-US" w:eastAsia="zh-CN"/>
        </w:rPr>
        <w:t>供 应 商</w:t>
      </w:r>
      <w:r>
        <w:rPr>
          <w:rFonts w:hint="eastAsia" w:asciiTheme="minorEastAsia" w:hAnsiTheme="minorEastAsia" w:eastAsiaTheme="minorEastAsia"/>
          <w:b/>
          <w:color w:val="auto"/>
          <w:sz w:val="32"/>
          <w:highlight w:val="none"/>
        </w:rPr>
        <w:t>：</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9"/>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245" w:name="_Toc8037"/>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245"/>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46" w:name="_Toc461056631"/>
      <w:bookmarkStart w:id="247" w:name="_Toc461053086"/>
      <w:bookmarkStart w:id="248" w:name="_Toc520983587"/>
      <w:bookmarkStart w:id="249" w:name="_Toc26791"/>
      <w:bookmarkStart w:id="250" w:name="_Toc5881"/>
      <w:r>
        <w:rPr>
          <w:rFonts w:hint="eastAsia" w:asciiTheme="minorEastAsia" w:hAnsiTheme="minorEastAsia" w:eastAsiaTheme="minorEastAsia"/>
          <w:b/>
          <w:color w:val="auto"/>
          <w:sz w:val="24"/>
          <w:highlight w:val="none"/>
        </w:rPr>
        <w:t>一</w:t>
      </w:r>
      <w:bookmarkEnd w:id="246"/>
      <w:bookmarkEnd w:id="247"/>
      <w:r>
        <w:rPr>
          <w:rFonts w:hint="eastAsia" w:asciiTheme="minorEastAsia" w:hAnsiTheme="minorEastAsia" w:eastAsiaTheme="minorEastAsia"/>
          <w:b/>
          <w:color w:val="auto"/>
          <w:sz w:val="24"/>
          <w:highlight w:val="none"/>
        </w:rPr>
        <w:t>、报价表格式</w:t>
      </w:r>
      <w:bookmarkEnd w:id="248"/>
      <w:bookmarkEnd w:id="249"/>
      <w:bookmarkEnd w:id="250"/>
    </w:p>
    <w:p>
      <w:pPr>
        <w:spacing w:before="156" w:beforeLines="50" w:after="156" w:afterLines="50" w:line="360" w:lineRule="auto"/>
        <w:jc w:val="left"/>
        <w:outlineLvl w:val="2"/>
        <w:rPr>
          <w:rFonts w:ascii="宋体" w:hAnsi="宋体" w:eastAsia="宋体"/>
          <w:b/>
          <w:color w:val="auto"/>
          <w:sz w:val="24"/>
          <w:szCs w:val="28"/>
          <w:highlight w:val="none"/>
        </w:rPr>
      </w:pPr>
      <w:r>
        <w:rPr>
          <w:rFonts w:hint="eastAsia" w:ascii="宋体" w:hAnsi="宋体" w:eastAsia="宋体"/>
          <w:b/>
          <w:color w:val="auto"/>
          <w:sz w:val="24"/>
          <w:szCs w:val="28"/>
          <w:highlight w:val="none"/>
        </w:rPr>
        <w:t>1-1 报价表</w:t>
      </w:r>
    </w:p>
    <w:p>
      <w:pPr>
        <w:snapToGrid w:val="0"/>
        <w:spacing w:line="360" w:lineRule="auto"/>
        <w:jc w:val="left"/>
        <w:rPr>
          <w:rFonts w:ascii="宋体" w:hAnsi="宋体" w:eastAsia="宋体"/>
          <w:b/>
          <w:color w:val="auto"/>
          <w:sz w:val="24"/>
          <w:szCs w:val="28"/>
          <w:highlight w:val="none"/>
        </w:rPr>
      </w:pPr>
      <w:r>
        <w:rPr>
          <w:rFonts w:hint="eastAsia" w:ascii="宋体" w:hAnsi="宋体" w:eastAsia="宋体"/>
          <w:b/>
          <w:color w:val="auto"/>
          <w:sz w:val="24"/>
          <w:szCs w:val="28"/>
          <w:highlight w:val="none"/>
        </w:rPr>
        <w:t>项目名称：</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p>
    <w:p>
      <w:pPr>
        <w:snapToGrid w:val="0"/>
        <w:spacing w:after="156" w:afterLines="50" w:line="360" w:lineRule="auto"/>
        <w:jc w:val="left"/>
        <w:rPr>
          <w:rFonts w:ascii="宋体" w:hAnsi="宋体" w:eastAsia="宋体"/>
          <w:b/>
          <w:bCs/>
          <w:color w:val="auto"/>
          <w:sz w:val="24"/>
          <w:szCs w:val="28"/>
          <w:highlight w:val="none"/>
          <w:u w:val="single"/>
        </w:rPr>
      </w:pPr>
      <w:r>
        <w:rPr>
          <w:rFonts w:hint="eastAsia" w:ascii="宋体" w:hAnsi="宋体" w:eastAsia="宋体"/>
          <w:b/>
          <w:color w:val="auto"/>
          <w:sz w:val="24"/>
          <w:szCs w:val="28"/>
          <w:highlight w:val="none"/>
        </w:rPr>
        <w:t>项目编号：</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7"/>
        <w:gridCol w:w="6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供应商名称</w:t>
            </w:r>
          </w:p>
        </w:tc>
        <w:tc>
          <w:tcPr>
            <w:tcW w:w="3557" w:type="pct"/>
            <w:tcBorders>
              <w:left w:val="single" w:color="auto" w:sz="4" w:space="0"/>
            </w:tcBorders>
          </w:tcPr>
          <w:p>
            <w:pPr>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b/>
                <w:color w:val="auto"/>
                <w:sz w:val="24"/>
                <w:highlight w:val="none"/>
              </w:rPr>
            </w:pPr>
            <w:r>
              <w:rPr>
                <w:rFonts w:hint="eastAsia" w:ascii="宋体" w:hAnsi="宋体" w:eastAsia="宋体"/>
                <w:b/>
                <w:color w:val="auto"/>
                <w:sz w:val="24"/>
                <w:highlight w:val="none"/>
              </w:rPr>
              <w:t>磋商范围</w:t>
            </w:r>
          </w:p>
        </w:tc>
        <w:tc>
          <w:tcPr>
            <w:tcW w:w="3557" w:type="pct"/>
            <w:tcBorders>
              <w:left w:val="single" w:color="auto" w:sz="4" w:space="0"/>
            </w:tcBorders>
            <w:vAlign w:val="center"/>
          </w:tcPr>
          <w:p>
            <w:pPr>
              <w:widowControl/>
              <w:spacing w:line="360" w:lineRule="exact"/>
              <w:rPr>
                <w:rFonts w:ascii="宋体" w:hAnsi="宋体" w:eastAsia="宋体"/>
                <w:b/>
                <w:color w:val="auto"/>
                <w:sz w:val="24"/>
                <w:highlight w:val="none"/>
              </w:rPr>
            </w:pPr>
            <w:r>
              <w:rPr>
                <w:rFonts w:hint="eastAsia" w:asciiTheme="minorEastAsia" w:hAnsiTheme="minorEastAsia" w:eastAsiaTheme="minorEastAsia"/>
                <w:color w:val="auto"/>
                <w:sz w:val="24"/>
                <w:szCs w:val="28"/>
                <w:highlight w:val="none"/>
              </w:rPr>
              <w:t>全部 / 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报价</w:t>
            </w:r>
          </w:p>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（详见备注说明）</w:t>
            </w:r>
          </w:p>
        </w:tc>
        <w:tc>
          <w:tcPr>
            <w:tcW w:w="3557" w:type="pct"/>
            <w:vAlign w:val="center"/>
          </w:tcPr>
          <w:p>
            <w:pPr>
              <w:snapToGrid w:val="0"/>
              <w:spacing w:line="360" w:lineRule="auto"/>
              <w:rPr>
                <w:rFonts w:ascii="宋体" w:hAnsi="宋体" w:eastAsia="宋体"/>
                <w:color w:val="auto"/>
                <w:sz w:val="24"/>
                <w:szCs w:val="28"/>
                <w:highlight w:val="none"/>
              </w:rPr>
            </w:pPr>
          </w:p>
          <w:p>
            <w:pPr>
              <w:snapToGrid w:val="0"/>
              <w:spacing w:line="360" w:lineRule="auto"/>
              <w:jc w:val="left"/>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人民币大写：</w:t>
            </w:r>
            <w:r>
              <w:rPr>
                <w:rFonts w:hint="eastAsia" w:ascii="宋体" w:hAnsi="宋体" w:eastAsia="宋体" w:cs="宋体"/>
                <w:bCs/>
                <w:color w:val="auto"/>
                <w:sz w:val="24"/>
                <w:szCs w:val="24"/>
                <w:highlight w:val="none"/>
                <w:u w:val="single"/>
              </w:rPr>
              <w:t xml:space="preserve">                     </w:t>
            </w:r>
          </w:p>
          <w:p>
            <w:pPr>
              <w:spacing w:line="360" w:lineRule="auto"/>
              <w:ind w:right="-670"/>
              <w:rPr>
                <w:rFonts w:hint="eastAsia" w:asciiTheme="minorEastAsia" w:hAnsiTheme="minorEastAsia" w:eastAsiaTheme="minorEastAsia"/>
                <w:color w:val="auto"/>
                <w:sz w:val="24"/>
                <w:highlight w:val="none"/>
              </w:rPr>
            </w:pPr>
            <w:r>
              <w:rPr>
                <w:rFonts w:hint="eastAsia" w:ascii="宋体" w:hAnsi="宋体" w:eastAsia="宋体" w:cs="宋体"/>
                <w:bCs/>
                <w:color w:val="auto"/>
                <w:sz w:val="24"/>
                <w:szCs w:val="24"/>
                <w:highlight w:val="none"/>
              </w:rPr>
              <w:t>人民币小写：</w:t>
            </w:r>
            <w:r>
              <w:rPr>
                <w:rFonts w:hint="eastAsia" w:ascii="宋体" w:hAnsi="宋体" w:eastAsia="宋体" w:cs="宋体"/>
                <w:bCs/>
                <w:color w:val="auto"/>
                <w:sz w:val="24"/>
                <w:szCs w:val="24"/>
                <w:highlight w:val="none"/>
                <w:u w:val="single"/>
              </w:rPr>
              <w:t xml:space="preserve">                     </w:t>
            </w:r>
          </w:p>
          <w:p>
            <w:pPr>
              <w:snapToGrid w:val="0"/>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备注说明</w:t>
            </w:r>
          </w:p>
        </w:tc>
        <w:tc>
          <w:tcPr>
            <w:tcW w:w="3557" w:type="pct"/>
          </w:tcPr>
          <w:p>
            <w:pPr>
              <w:spacing w:line="360" w:lineRule="auto"/>
              <w:rPr>
                <w:rFonts w:ascii="宋体" w:hAnsi="宋体" w:eastAsia="宋体"/>
                <w:b/>
                <w:color w:val="auto"/>
                <w:sz w:val="24"/>
                <w:highlight w:val="none"/>
              </w:rPr>
            </w:pPr>
          </w:p>
        </w:tc>
      </w:tr>
    </w:tbl>
    <w:p>
      <w:pPr>
        <w:spacing w:line="440" w:lineRule="exact"/>
        <w:ind w:firstLine="5520" w:firstLineChars="23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供应商电子签章：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w:t>
      </w:r>
    </w:p>
    <w:p>
      <w:pPr>
        <w:spacing w:line="440" w:lineRule="exact"/>
        <w:ind w:firstLine="5520" w:firstLineChars="23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             </w:t>
      </w:r>
    </w:p>
    <w:p>
      <w:pPr>
        <w:adjustRightInd w:val="0"/>
        <w:snapToGrid w:val="0"/>
        <w:spacing w:line="360" w:lineRule="auto"/>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注：</w:t>
      </w:r>
    </w:p>
    <w:p>
      <w:pPr>
        <w:adjustRightInd w:val="0"/>
        <w:snapToGrid w:val="0"/>
        <w:spacing w:line="360" w:lineRule="auto"/>
        <w:ind w:firstLine="482" w:firstLineChars="200"/>
        <w:rPr>
          <w:rFonts w:ascii="宋体" w:hAnsi="宋体" w:eastAsia="宋体"/>
          <w:color w:val="auto"/>
          <w:sz w:val="24"/>
          <w:highlight w:val="none"/>
        </w:rPr>
      </w:pPr>
      <w:r>
        <w:rPr>
          <w:rFonts w:hint="eastAsia" w:ascii="宋体" w:hAnsi="宋体" w:eastAsia="宋体"/>
          <w:b/>
          <w:bCs/>
          <w:color w:val="auto"/>
          <w:sz w:val="24"/>
          <w:szCs w:val="28"/>
          <w:highlight w:val="none"/>
        </w:rPr>
        <w:t>1.本表内容根据磋商文件要求包括了服务及其配套的设计、采购、制造、检测、试验、运输、保险、仓储、税费以及现场落地、安装及安装耗损、调试、培训、技术服务（包括技术资料、图纸的提供）质保期内的售后服务保障等所有费用。</w:t>
      </w:r>
    </w:p>
    <w:p>
      <w:pPr>
        <w:adjustRightInd w:val="0"/>
        <w:snapToGrid w:val="0"/>
        <w:spacing w:line="360" w:lineRule="auto"/>
        <w:ind w:firstLine="482" w:firstLineChars="200"/>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2.特殊事项在备注中注明。</w:t>
      </w:r>
    </w:p>
    <w:p>
      <w:pPr>
        <w:adjustRightInd w:val="0"/>
        <w:snapToGrid w:val="0"/>
        <w:spacing w:line="360" w:lineRule="auto"/>
        <w:ind w:firstLine="482" w:firstLineChars="200"/>
        <w:rPr>
          <w:rFonts w:hint="default" w:ascii="宋体" w:hAnsi="宋体" w:eastAsia="宋体"/>
          <w:b/>
          <w:bCs/>
          <w:color w:val="auto"/>
          <w:sz w:val="24"/>
          <w:szCs w:val="28"/>
          <w:highlight w:val="none"/>
          <w:lang w:val="en-US" w:eastAsia="zh-CN"/>
        </w:rPr>
      </w:pPr>
      <w:r>
        <w:rPr>
          <w:rFonts w:hint="eastAsia" w:ascii="宋体" w:hAnsi="宋体" w:eastAsia="宋体"/>
          <w:b/>
          <w:bCs/>
          <w:color w:val="auto"/>
          <w:sz w:val="24"/>
          <w:szCs w:val="28"/>
          <w:highlight w:val="none"/>
          <w:lang w:val="en-US" w:eastAsia="zh-CN"/>
        </w:rPr>
        <w:t>3</w:t>
      </w:r>
      <w:r>
        <w:rPr>
          <w:rFonts w:hint="eastAsia" w:ascii="宋体" w:hAnsi="宋体" w:eastAsia="宋体"/>
          <w:b/>
          <w:bCs/>
          <w:color w:val="auto"/>
          <w:sz w:val="24"/>
          <w:szCs w:val="28"/>
          <w:highlight w:val="none"/>
        </w:rPr>
        <w:t>.表中大写金额与小写金额不一致的，以大写金额为准。</w:t>
      </w:r>
    </w:p>
    <w:p>
      <w:pPr>
        <w:widowControl/>
        <w:jc w:val="left"/>
        <w:rPr>
          <w:rFonts w:ascii="宋体" w:hAnsi="宋体" w:eastAsia="宋体"/>
          <w:b/>
          <w:bCs/>
          <w:color w:val="auto"/>
          <w:sz w:val="24"/>
          <w:szCs w:val="28"/>
          <w:highlight w:val="none"/>
        </w:rPr>
      </w:pPr>
      <w:r>
        <w:rPr>
          <w:rFonts w:ascii="宋体" w:hAnsi="宋体" w:eastAsia="宋体"/>
          <w:b/>
          <w:bCs/>
          <w:color w:val="auto"/>
          <w:sz w:val="24"/>
          <w:szCs w:val="28"/>
          <w:highlight w:val="none"/>
        </w:rPr>
        <w:br w:type="page"/>
      </w:r>
    </w:p>
    <w:p>
      <w:pPr>
        <w:spacing w:before="156" w:beforeLines="50" w:after="156" w:afterLines="50" w:line="360" w:lineRule="auto"/>
        <w:jc w:val="left"/>
        <w:outlineLvl w:val="2"/>
        <w:rPr>
          <w:rFonts w:ascii="宋体" w:hAnsi="宋体" w:eastAsia="宋体"/>
          <w:b/>
          <w:color w:val="auto"/>
          <w:sz w:val="24"/>
          <w:szCs w:val="28"/>
          <w:highlight w:val="none"/>
        </w:rPr>
      </w:pPr>
      <w:r>
        <w:rPr>
          <w:rFonts w:hint="eastAsia" w:ascii="宋体" w:hAnsi="宋体" w:eastAsia="宋体"/>
          <w:b/>
          <w:color w:val="auto"/>
          <w:sz w:val="24"/>
          <w:szCs w:val="28"/>
          <w:highlight w:val="none"/>
        </w:rPr>
        <w:t>1-2 分项报价明细表</w:t>
      </w:r>
    </w:p>
    <w:p>
      <w:pPr>
        <w:spacing w:line="360" w:lineRule="auto"/>
        <w:ind w:firstLine="435"/>
        <w:jc w:val="center"/>
        <w:rPr>
          <w:rFonts w:asciiTheme="minorEastAsia" w:hAnsiTheme="minorEastAsia" w:eastAsiaTheme="minorEastAsia"/>
          <w:b/>
          <w:color w:val="auto"/>
          <w:sz w:val="24"/>
          <w:highlight w:val="none"/>
        </w:rPr>
      </w:pPr>
      <w:r>
        <w:rPr>
          <w:rFonts w:hint="eastAsia" w:asciiTheme="minorEastAsia" w:hAnsiTheme="minorEastAsia" w:eastAsiaTheme="minorEastAsia"/>
          <w:i/>
          <w:color w:val="auto"/>
          <w:sz w:val="24"/>
          <w:highlight w:val="none"/>
        </w:rPr>
        <w:t>（仅供参考，供应商可自行制作格式）</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7"/>
        <w:gridCol w:w="3409"/>
        <w:gridCol w:w="1488"/>
        <w:gridCol w:w="1862"/>
        <w:gridCol w:w="1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464" w:type="pct"/>
            <w:vAlign w:val="center"/>
          </w:tcPr>
          <w:p>
            <w:pPr>
              <w:jc w:val="center"/>
              <w:rPr>
                <w:rFonts w:ascii="宋体" w:hAnsi="宋体" w:eastAsia="宋体"/>
                <w:b/>
                <w:color w:val="auto"/>
                <w:sz w:val="24"/>
                <w:highlight w:val="none"/>
              </w:rPr>
            </w:pPr>
            <w:r>
              <w:rPr>
                <w:rFonts w:hint="eastAsia" w:ascii="宋体" w:hAnsi="宋体" w:eastAsia="宋体"/>
                <w:b/>
                <w:color w:val="auto"/>
                <w:sz w:val="24"/>
                <w:highlight w:val="none"/>
              </w:rPr>
              <w:t>序号</w:t>
            </w:r>
          </w:p>
        </w:tc>
        <w:tc>
          <w:tcPr>
            <w:tcW w:w="1824" w:type="pct"/>
            <w:vAlign w:val="center"/>
          </w:tcPr>
          <w:p>
            <w:pPr>
              <w:jc w:val="center"/>
              <w:rPr>
                <w:rFonts w:ascii="宋体" w:hAnsi="宋体" w:eastAsia="宋体"/>
                <w:b/>
                <w:color w:val="auto"/>
                <w:sz w:val="24"/>
                <w:highlight w:val="none"/>
              </w:rPr>
            </w:pPr>
            <w:r>
              <w:rPr>
                <w:rFonts w:hint="eastAsia" w:ascii="宋体" w:hAnsi="宋体" w:eastAsia="宋体"/>
                <w:b/>
                <w:color w:val="auto"/>
                <w:sz w:val="24"/>
                <w:highlight w:val="none"/>
              </w:rPr>
              <w:t>服务内容</w:t>
            </w:r>
          </w:p>
        </w:tc>
        <w:tc>
          <w:tcPr>
            <w:tcW w:w="796" w:type="pct"/>
            <w:vAlign w:val="center"/>
          </w:tcPr>
          <w:p>
            <w:pPr>
              <w:jc w:val="center"/>
              <w:rPr>
                <w:rFonts w:ascii="宋体" w:hAnsi="宋体" w:eastAsia="宋体"/>
                <w:b/>
                <w:color w:val="auto"/>
                <w:sz w:val="24"/>
                <w:highlight w:val="none"/>
              </w:rPr>
            </w:pPr>
            <w:r>
              <w:rPr>
                <w:rFonts w:hint="eastAsia" w:ascii="宋体" w:hAnsi="宋体" w:eastAsia="宋体"/>
                <w:b/>
                <w:color w:val="auto"/>
                <w:sz w:val="24"/>
                <w:highlight w:val="none"/>
              </w:rPr>
              <w:t>项</w:t>
            </w:r>
          </w:p>
        </w:tc>
        <w:tc>
          <w:tcPr>
            <w:tcW w:w="996" w:type="pct"/>
            <w:vAlign w:val="center"/>
          </w:tcPr>
          <w:p>
            <w:pPr>
              <w:jc w:val="center"/>
              <w:rPr>
                <w:rFonts w:ascii="宋体" w:hAnsi="宋体" w:eastAsia="宋体"/>
                <w:b/>
                <w:color w:val="auto"/>
                <w:sz w:val="24"/>
                <w:highlight w:val="none"/>
              </w:rPr>
            </w:pPr>
            <w:r>
              <w:rPr>
                <w:rFonts w:hint="eastAsia" w:ascii="宋体" w:hAnsi="宋体" w:eastAsia="宋体"/>
                <w:b/>
                <w:color w:val="auto"/>
                <w:sz w:val="24"/>
                <w:highlight w:val="none"/>
              </w:rPr>
              <w:t>单价</w:t>
            </w:r>
          </w:p>
        </w:tc>
        <w:tc>
          <w:tcPr>
            <w:tcW w:w="920" w:type="pct"/>
            <w:vAlign w:val="center"/>
          </w:tcPr>
          <w:p>
            <w:pPr>
              <w:jc w:val="center"/>
              <w:rPr>
                <w:rFonts w:ascii="宋体" w:hAnsi="宋体" w:eastAsia="宋体"/>
                <w:b/>
                <w:color w:val="auto"/>
                <w:sz w:val="24"/>
                <w:highlight w:val="none"/>
              </w:rPr>
            </w:pPr>
            <w:r>
              <w:rPr>
                <w:rFonts w:hint="eastAsia" w:ascii="宋体" w:hAnsi="宋体" w:eastAsia="宋体"/>
                <w:b/>
                <w:color w:val="auto"/>
                <w:sz w:val="24"/>
                <w:highlight w:val="none"/>
              </w:rPr>
              <w:t>小计金额（元）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tcBorders>
              <w:bottom w:val="single" w:color="auto" w:sz="4" w:space="0"/>
            </w:tcBorders>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1</w:t>
            </w:r>
          </w:p>
        </w:tc>
        <w:tc>
          <w:tcPr>
            <w:tcW w:w="1824" w:type="pct"/>
            <w:vAlign w:val="center"/>
          </w:tcPr>
          <w:p>
            <w:pPr>
              <w:jc w:val="center"/>
              <w:rPr>
                <w:rFonts w:ascii="宋体" w:hAnsi="宋体" w:eastAsia="宋体"/>
                <w:color w:val="auto"/>
                <w:sz w:val="24"/>
                <w:highlight w:val="none"/>
              </w:rPr>
            </w:pPr>
          </w:p>
        </w:tc>
        <w:tc>
          <w:tcPr>
            <w:tcW w:w="796" w:type="pct"/>
            <w:vAlign w:val="center"/>
          </w:tcPr>
          <w:p>
            <w:pPr>
              <w:jc w:val="center"/>
              <w:rPr>
                <w:rFonts w:ascii="宋体" w:hAnsi="宋体" w:eastAsia="宋体"/>
                <w:color w:val="auto"/>
                <w:sz w:val="24"/>
                <w:highlight w:val="none"/>
              </w:rPr>
            </w:pPr>
          </w:p>
        </w:tc>
        <w:tc>
          <w:tcPr>
            <w:tcW w:w="996"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2</w:t>
            </w:r>
          </w:p>
        </w:tc>
        <w:tc>
          <w:tcPr>
            <w:tcW w:w="1824" w:type="pct"/>
            <w:vAlign w:val="center"/>
          </w:tcPr>
          <w:p>
            <w:pPr>
              <w:jc w:val="center"/>
              <w:rPr>
                <w:rFonts w:ascii="宋体" w:hAnsi="宋体" w:eastAsia="宋体"/>
                <w:color w:val="auto"/>
                <w:sz w:val="24"/>
                <w:highlight w:val="none"/>
              </w:rPr>
            </w:pPr>
          </w:p>
        </w:tc>
        <w:tc>
          <w:tcPr>
            <w:tcW w:w="796" w:type="pct"/>
            <w:vAlign w:val="center"/>
          </w:tcPr>
          <w:p>
            <w:pPr>
              <w:jc w:val="center"/>
              <w:rPr>
                <w:rFonts w:ascii="宋体" w:hAnsi="宋体" w:eastAsia="宋体"/>
                <w:color w:val="auto"/>
                <w:sz w:val="24"/>
                <w:highlight w:val="none"/>
              </w:rPr>
            </w:pPr>
          </w:p>
        </w:tc>
        <w:tc>
          <w:tcPr>
            <w:tcW w:w="996"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3</w:t>
            </w:r>
          </w:p>
        </w:tc>
        <w:tc>
          <w:tcPr>
            <w:tcW w:w="1824" w:type="pct"/>
            <w:vAlign w:val="center"/>
          </w:tcPr>
          <w:p>
            <w:pPr>
              <w:jc w:val="center"/>
              <w:rPr>
                <w:rFonts w:ascii="宋体" w:hAnsi="宋体" w:eastAsia="宋体"/>
                <w:color w:val="auto"/>
                <w:sz w:val="24"/>
                <w:highlight w:val="none"/>
              </w:rPr>
            </w:pPr>
          </w:p>
        </w:tc>
        <w:tc>
          <w:tcPr>
            <w:tcW w:w="796" w:type="pct"/>
            <w:vAlign w:val="center"/>
          </w:tcPr>
          <w:p>
            <w:pPr>
              <w:jc w:val="center"/>
              <w:rPr>
                <w:rFonts w:ascii="宋体" w:hAnsi="宋体" w:eastAsia="宋体"/>
                <w:color w:val="auto"/>
                <w:sz w:val="24"/>
                <w:highlight w:val="none"/>
              </w:rPr>
            </w:pPr>
          </w:p>
        </w:tc>
        <w:tc>
          <w:tcPr>
            <w:tcW w:w="996"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宋体" w:hAnsi="宋体" w:eastAsia="宋体"/>
                <w:color w:val="auto"/>
                <w:sz w:val="24"/>
                <w:highlight w:val="none"/>
              </w:rPr>
            </w:pPr>
            <w:r>
              <w:rPr>
                <w:rFonts w:ascii="宋体" w:hAnsi="宋体" w:eastAsia="宋体"/>
                <w:color w:val="auto"/>
                <w:sz w:val="24"/>
                <w:highlight w:val="none"/>
              </w:rPr>
              <w:t>…</w:t>
            </w:r>
          </w:p>
        </w:tc>
        <w:tc>
          <w:tcPr>
            <w:tcW w:w="1824" w:type="pct"/>
            <w:vAlign w:val="center"/>
          </w:tcPr>
          <w:p>
            <w:pPr>
              <w:jc w:val="center"/>
              <w:rPr>
                <w:rFonts w:ascii="宋体" w:hAnsi="宋体" w:eastAsia="宋体"/>
                <w:color w:val="auto"/>
                <w:sz w:val="24"/>
                <w:highlight w:val="none"/>
              </w:rPr>
            </w:pPr>
          </w:p>
        </w:tc>
        <w:tc>
          <w:tcPr>
            <w:tcW w:w="796" w:type="pct"/>
            <w:vAlign w:val="center"/>
          </w:tcPr>
          <w:p>
            <w:pPr>
              <w:jc w:val="center"/>
              <w:rPr>
                <w:rFonts w:ascii="宋体" w:hAnsi="宋体" w:eastAsia="宋体"/>
                <w:color w:val="auto"/>
                <w:sz w:val="24"/>
                <w:highlight w:val="none"/>
              </w:rPr>
            </w:pPr>
          </w:p>
        </w:tc>
        <w:tc>
          <w:tcPr>
            <w:tcW w:w="996"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宋体" w:hAnsi="宋体" w:eastAsia="宋体"/>
                <w:color w:val="auto"/>
                <w:sz w:val="24"/>
                <w:highlight w:val="none"/>
              </w:rPr>
            </w:pPr>
          </w:p>
        </w:tc>
        <w:tc>
          <w:tcPr>
            <w:tcW w:w="1824" w:type="pct"/>
            <w:vAlign w:val="center"/>
          </w:tcPr>
          <w:p>
            <w:pPr>
              <w:pStyle w:val="45"/>
              <w:ind w:left="-108"/>
              <w:jc w:val="center"/>
              <w:rPr>
                <w:rFonts w:ascii="宋体" w:hAnsi="宋体"/>
                <w:color w:val="auto"/>
                <w:highlight w:val="none"/>
              </w:rPr>
            </w:pPr>
            <w:r>
              <w:rPr>
                <w:rFonts w:hint="eastAsia" w:ascii="宋体" w:hAnsi="宋体"/>
                <w:color w:val="auto"/>
                <w:highlight w:val="none"/>
              </w:rPr>
              <w:t>其他费用</w:t>
            </w:r>
          </w:p>
        </w:tc>
        <w:tc>
          <w:tcPr>
            <w:tcW w:w="796" w:type="pct"/>
            <w:vAlign w:val="center"/>
          </w:tcPr>
          <w:p>
            <w:pPr>
              <w:jc w:val="center"/>
              <w:rPr>
                <w:rFonts w:ascii="宋体" w:hAnsi="宋体" w:eastAsia="宋体"/>
                <w:color w:val="auto"/>
                <w:sz w:val="24"/>
                <w:highlight w:val="none"/>
              </w:rPr>
            </w:pPr>
          </w:p>
        </w:tc>
        <w:tc>
          <w:tcPr>
            <w:tcW w:w="996"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宋体" w:hAnsi="宋体" w:eastAsia="宋体"/>
                <w:color w:val="auto"/>
                <w:sz w:val="24"/>
                <w:highlight w:val="none"/>
              </w:rPr>
            </w:pPr>
          </w:p>
        </w:tc>
        <w:tc>
          <w:tcPr>
            <w:tcW w:w="1824" w:type="pct"/>
            <w:vAlign w:val="center"/>
          </w:tcPr>
          <w:p>
            <w:pPr>
              <w:jc w:val="center"/>
              <w:rPr>
                <w:rFonts w:ascii="宋体" w:hAnsi="宋体" w:eastAsia="宋体"/>
                <w:color w:val="auto"/>
                <w:sz w:val="24"/>
                <w:highlight w:val="none"/>
              </w:rPr>
            </w:pPr>
            <w:r>
              <w:rPr>
                <w:rFonts w:ascii="宋体" w:hAnsi="宋体" w:eastAsia="宋体"/>
                <w:color w:val="auto"/>
                <w:sz w:val="24"/>
                <w:highlight w:val="none"/>
              </w:rPr>
              <w:t>……</w:t>
            </w:r>
          </w:p>
        </w:tc>
        <w:tc>
          <w:tcPr>
            <w:tcW w:w="796" w:type="pct"/>
            <w:vAlign w:val="center"/>
          </w:tcPr>
          <w:p>
            <w:pPr>
              <w:jc w:val="center"/>
              <w:rPr>
                <w:rFonts w:ascii="宋体" w:hAnsi="宋体" w:eastAsia="宋体"/>
                <w:color w:val="auto"/>
                <w:sz w:val="24"/>
                <w:highlight w:val="none"/>
              </w:rPr>
            </w:pPr>
          </w:p>
        </w:tc>
        <w:tc>
          <w:tcPr>
            <w:tcW w:w="996"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080" w:type="pct"/>
            <w:gridSpan w:val="4"/>
            <w:vAlign w:val="center"/>
          </w:tcPr>
          <w:p>
            <w:pPr>
              <w:jc w:val="center"/>
              <w:rPr>
                <w:rFonts w:ascii="宋体" w:hAnsi="宋体" w:eastAsia="宋体"/>
                <w:color w:val="auto"/>
                <w:sz w:val="24"/>
                <w:highlight w:val="none"/>
              </w:rPr>
            </w:pPr>
            <w:r>
              <w:rPr>
                <w:rFonts w:hint="eastAsia" w:ascii="宋体" w:hAnsi="宋体" w:eastAsia="宋体"/>
                <w:b/>
                <w:color w:val="auto"/>
                <w:sz w:val="24"/>
                <w:highlight w:val="none"/>
              </w:rPr>
              <w:t>合计金额（元）</w:t>
            </w:r>
          </w:p>
        </w:tc>
        <w:tc>
          <w:tcPr>
            <w:tcW w:w="920" w:type="pct"/>
            <w:vAlign w:val="center"/>
          </w:tcPr>
          <w:p>
            <w:pPr>
              <w:jc w:val="center"/>
              <w:rPr>
                <w:rFonts w:ascii="宋体" w:hAnsi="宋体" w:eastAsia="宋体"/>
                <w:color w:val="auto"/>
                <w:sz w:val="24"/>
                <w:highlight w:val="none"/>
              </w:rPr>
            </w:pPr>
          </w:p>
        </w:tc>
      </w:tr>
    </w:tbl>
    <w:p>
      <w:pPr>
        <w:spacing w:line="440" w:lineRule="exact"/>
        <w:ind w:firstLine="4800" w:firstLineChars="20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供应商电子签章：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w:t>
      </w:r>
    </w:p>
    <w:p>
      <w:pPr>
        <w:spacing w:line="440" w:lineRule="exact"/>
        <w:ind w:firstLine="4800" w:firstLineChars="20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             </w:t>
      </w:r>
    </w:p>
    <w:p>
      <w:pPr>
        <w:adjustRightInd w:val="0"/>
        <w:snapToGrid w:val="0"/>
        <w:spacing w:line="360" w:lineRule="auto"/>
        <w:rPr>
          <w:rFonts w:hint="eastAsia" w:ascii="宋体" w:hAnsi="宋体" w:eastAsia="宋体"/>
          <w:b/>
          <w:bCs/>
          <w:color w:val="auto"/>
          <w:sz w:val="24"/>
          <w:szCs w:val="28"/>
          <w:highlight w:val="none"/>
          <w:lang w:eastAsia="zh-CN"/>
        </w:rPr>
      </w:pPr>
      <w:r>
        <w:rPr>
          <w:rFonts w:hint="eastAsia" w:ascii="宋体" w:hAnsi="宋体" w:eastAsia="宋体"/>
          <w:b/>
          <w:bCs/>
          <w:color w:val="auto"/>
          <w:sz w:val="24"/>
          <w:szCs w:val="28"/>
          <w:highlight w:val="none"/>
          <w:lang w:eastAsia="zh-CN"/>
        </w:rPr>
        <w:t>注：</w:t>
      </w:r>
    </w:p>
    <w:p>
      <w:pPr>
        <w:adjustRightInd w:val="0"/>
        <w:snapToGrid w:val="0"/>
        <w:spacing w:line="360" w:lineRule="auto"/>
        <w:ind w:firstLine="482" w:firstLineChars="200"/>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表中所列服务为对应本项目需求的全部服务内容。如有漏项或缺项，供应商承担全部责任。</w:t>
      </w:r>
    </w:p>
    <w:p>
      <w:pPr>
        <w:widowControl/>
        <w:jc w:val="left"/>
        <w:rPr>
          <w:rFonts w:ascii="宋体" w:hAnsi="宋体" w:eastAsia="宋体"/>
          <w:b/>
          <w:bCs/>
          <w:color w:val="auto"/>
          <w:sz w:val="24"/>
          <w:szCs w:val="28"/>
          <w:highlight w:val="none"/>
        </w:rPr>
      </w:pPr>
      <w:r>
        <w:rPr>
          <w:rFonts w:ascii="宋体" w:hAnsi="宋体" w:eastAsia="宋体"/>
          <w:b/>
          <w:bCs/>
          <w:color w:val="auto"/>
          <w:sz w:val="24"/>
          <w:szCs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51" w:name="_Toc461053087"/>
      <w:bookmarkStart w:id="252" w:name="_Toc461056632"/>
      <w:bookmarkStart w:id="253" w:name="_Toc520983588"/>
      <w:bookmarkStart w:id="254" w:name="_Toc32436"/>
      <w:bookmarkStart w:id="255" w:name="_Toc28695"/>
      <w:r>
        <w:rPr>
          <w:rFonts w:hint="eastAsia" w:asciiTheme="minorEastAsia" w:hAnsiTheme="minorEastAsia" w:eastAsiaTheme="minorEastAsia"/>
          <w:b/>
          <w:color w:val="auto"/>
          <w:sz w:val="24"/>
          <w:highlight w:val="none"/>
        </w:rPr>
        <w:t>二</w:t>
      </w:r>
      <w:bookmarkEnd w:id="251"/>
      <w:bookmarkEnd w:id="252"/>
      <w:r>
        <w:rPr>
          <w:rFonts w:hint="eastAsia" w:asciiTheme="minorEastAsia" w:hAnsiTheme="minorEastAsia" w:eastAsiaTheme="minorEastAsia"/>
          <w:b/>
          <w:color w:val="auto"/>
          <w:sz w:val="24"/>
          <w:highlight w:val="none"/>
        </w:rPr>
        <w:t>、最后承诺报价表</w:t>
      </w:r>
      <w:bookmarkEnd w:id="253"/>
      <w:bookmarkEnd w:id="254"/>
      <w:bookmarkEnd w:id="255"/>
    </w:p>
    <w:p>
      <w:pPr>
        <w:spacing w:before="156" w:beforeLines="50" w:after="156" w:afterLines="50" w:line="360" w:lineRule="auto"/>
        <w:ind w:firstLine="236" w:firstLineChars="98"/>
        <w:jc w:val="center"/>
        <w:rPr>
          <w:rFonts w:ascii="宋体" w:hAnsi="宋体" w:eastAsia="宋体"/>
          <w:b/>
          <w:color w:val="auto"/>
          <w:sz w:val="24"/>
          <w:szCs w:val="28"/>
          <w:highlight w:val="none"/>
        </w:rPr>
      </w:pPr>
      <w:r>
        <w:rPr>
          <w:rFonts w:hint="eastAsia" w:ascii="宋体" w:hAnsi="宋体" w:eastAsia="宋体"/>
          <w:b/>
          <w:color w:val="auto"/>
          <w:sz w:val="24"/>
          <w:szCs w:val="28"/>
          <w:highlight w:val="none"/>
        </w:rPr>
        <w:t>（第</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rPr>
        <w:t>次报价书）</w:t>
      </w:r>
    </w:p>
    <w:p>
      <w:pPr>
        <w:snapToGrid w:val="0"/>
        <w:spacing w:line="360" w:lineRule="auto"/>
        <w:jc w:val="left"/>
        <w:rPr>
          <w:rFonts w:ascii="宋体" w:hAnsi="宋体" w:eastAsia="宋体"/>
          <w:b/>
          <w:color w:val="auto"/>
          <w:sz w:val="24"/>
          <w:szCs w:val="28"/>
          <w:highlight w:val="none"/>
        </w:rPr>
      </w:pPr>
      <w:r>
        <w:rPr>
          <w:rFonts w:hint="eastAsia" w:ascii="宋体" w:hAnsi="宋体" w:eastAsia="宋体"/>
          <w:b/>
          <w:color w:val="auto"/>
          <w:sz w:val="24"/>
          <w:szCs w:val="28"/>
          <w:highlight w:val="none"/>
        </w:rPr>
        <w:t>项目名称：</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p>
    <w:p>
      <w:pPr>
        <w:snapToGrid w:val="0"/>
        <w:spacing w:after="156" w:afterLines="50" w:line="360" w:lineRule="auto"/>
        <w:jc w:val="left"/>
        <w:rPr>
          <w:rFonts w:ascii="宋体" w:hAnsi="宋体" w:eastAsia="宋体"/>
          <w:b/>
          <w:bCs/>
          <w:color w:val="auto"/>
          <w:sz w:val="24"/>
          <w:szCs w:val="28"/>
          <w:highlight w:val="none"/>
        </w:rPr>
      </w:pPr>
      <w:r>
        <w:rPr>
          <w:rFonts w:hint="eastAsia" w:ascii="宋体" w:hAnsi="宋体" w:eastAsia="宋体"/>
          <w:b/>
          <w:color w:val="auto"/>
          <w:sz w:val="24"/>
          <w:szCs w:val="28"/>
          <w:highlight w:val="none"/>
        </w:rPr>
        <w:t>项目编号：</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7"/>
        <w:gridCol w:w="6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供应商名称</w:t>
            </w:r>
          </w:p>
        </w:tc>
        <w:tc>
          <w:tcPr>
            <w:tcW w:w="3557" w:type="pct"/>
            <w:tcBorders>
              <w:left w:val="single" w:color="auto" w:sz="4" w:space="0"/>
            </w:tcBorders>
          </w:tcPr>
          <w:p>
            <w:pPr>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b/>
                <w:color w:val="auto"/>
                <w:sz w:val="24"/>
                <w:highlight w:val="none"/>
              </w:rPr>
            </w:pPr>
            <w:r>
              <w:rPr>
                <w:rFonts w:hint="eastAsia" w:ascii="宋体" w:hAnsi="宋体" w:eastAsia="宋体"/>
                <w:b/>
                <w:bCs/>
                <w:color w:val="auto"/>
                <w:sz w:val="24"/>
                <w:szCs w:val="28"/>
                <w:highlight w:val="none"/>
              </w:rPr>
              <w:t>磋商</w:t>
            </w:r>
            <w:r>
              <w:rPr>
                <w:rFonts w:hint="eastAsia" w:ascii="宋体" w:hAnsi="宋体" w:eastAsia="宋体"/>
                <w:b/>
                <w:color w:val="auto"/>
                <w:sz w:val="24"/>
                <w:highlight w:val="none"/>
              </w:rPr>
              <w:t>范围</w:t>
            </w:r>
          </w:p>
        </w:tc>
        <w:tc>
          <w:tcPr>
            <w:tcW w:w="3557" w:type="pct"/>
            <w:tcBorders>
              <w:left w:val="single" w:color="auto" w:sz="4" w:space="0"/>
            </w:tcBorders>
            <w:vAlign w:val="center"/>
          </w:tcPr>
          <w:p>
            <w:pPr>
              <w:widowControl/>
              <w:spacing w:line="360" w:lineRule="exact"/>
              <w:rPr>
                <w:rFonts w:ascii="宋体" w:hAnsi="宋体" w:eastAsia="宋体"/>
                <w:b/>
                <w:color w:val="auto"/>
                <w:sz w:val="24"/>
                <w:highlight w:val="none"/>
              </w:rPr>
            </w:pPr>
            <w:r>
              <w:rPr>
                <w:rFonts w:hint="eastAsia" w:asciiTheme="minorEastAsia" w:hAnsiTheme="minorEastAsia" w:eastAsiaTheme="minorEastAsia"/>
                <w:color w:val="auto"/>
                <w:sz w:val="24"/>
                <w:szCs w:val="28"/>
                <w:highlight w:val="none"/>
              </w:rPr>
              <w:t>全部 / 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bCs/>
                <w:color w:val="auto"/>
                <w:sz w:val="24"/>
                <w:szCs w:val="28"/>
                <w:highlight w:val="none"/>
              </w:rPr>
              <w:t>最后报价</w:t>
            </w:r>
          </w:p>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（详见备注说明）</w:t>
            </w:r>
          </w:p>
        </w:tc>
        <w:tc>
          <w:tcPr>
            <w:tcW w:w="3557" w:type="pct"/>
            <w:vAlign w:val="center"/>
          </w:tcPr>
          <w:p>
            <w:pPr>
              <w:snapToGrid w:val="0"/>
              <w:spacing w:line="360" w:lineRule="auto"/>
              <w:rPr>
                <w:rFonts w:ascii="宋体" w:hAnsi="宋体" w:eastAsia="宋体"/>
                <w:color w:val="auto"/>
                <w:sz w:val="24"/>
                <w:szCs w:val="28"/>
                <w:highlight w:val="none"/>
              </w:rPr>
            </w:pPr>
          </w:p>
          <w:p>
            <w:pPr>
              <w:snapToGrid w:val="0"/>
              <w:spacing w:line="360" w:lineRule="auto"/>
              <w:jc w:val="left"/>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人民币大写：</w:t>
            </w:r>
            <w:r>
              <w:rPr>
                <w:rFonts w:hint="eastAsia" w:ascii="宋体" w:hAnsi="宋体" w:eastAsia="宋体" w:cs="宋体"/>
                <w:bCs/>
                <w:color w:val="auto"/>
                <w:sz w:val="24"/>
                <w:szCs w:val="24"/>
                <w:highlight w:val="none"/>
                <w:u w:val="single"/>
              </w:rPr>
              <w:t xml:space="preserve">                     </w:t>
            </w:r>
          </w:p>
          <w:p>
            <w:pPr>
              <w:spacing w:line="360" w:lineRule="auto"/>
              <w:ind w:right="-670"/>
              <w:rPr>
                <w:rFonts w:ascii="宋体" w:hAnsi="宋体" w:eastAsia="宋体"/>
                <w:b/>
                <w:color w:val="auto"/>
                <w:sz w:val="24"/>
                <w:highlight w:val="none"/>
              </w:rPr>
            </w:pPr>
            <w:r>
              <w:rPr>
                <w:rFonts w:hint="eastAsia" w:ascii="宋体" w:hAnsi="宋体" w:eastAsia="宋体" w:cs="宋体"/>
                <w:bCs/>
                <w:color w:val="auto"/>
                <w:sz w:val="24"/>
                <w:szCs w:val="24"/>
                <w:highlight w:val="none"/>
              </w:rPr>
              <w:t>人民币小写：</w:t>
            </w:r>
            <w:r>
              <w:rPr>
                <w:rFonts w:hint="eastAsia" w:ascii="宋体" w:hAnsi="宋体" w:eastAsia="宋体" w:cs="宋体"/>
                <w:bCs/>
                <w:color w:val="auto"/>
                <w:sz w:val="24"/>
                <w:szCs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4"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备注说明</w:t>
            </w:r>
          </w:p>
        </w:tc>
        <w:tc>
          <w:tcPr>
            <w:tcW w:w="3557" w:type="pct"/>
          </w:tcPr>
          <w:p>
            <w:pPr>
              <w:spacing w:line="360" w:lineRule="auto"/>
              <w:rPr>
                <w:rFonts w:ascii="宋体" w:hAnsi="宋体" w:eastAsia="宋体"/>
                <w:b/>
                <w:color w:val="auto"/>
                <w:sz w:val="24"/>
                <w:highlight w:val="none"/>
              </w:rPr>
            </w:pPr>
            <w:r>
              <w:rPr>
                <w:rFonts w:hint="eastAsia" w:ascii="宋体" w:hAnsi="宋体" w:eastAsia="宋体"/>
                <w:b/>
                <w:i/>
                <w:color w:val="auto"/>
                <w:sz w:val="24"/>
                <w:highlight w:val="none"/>
              </w:rPr>
              <w:t>（此处可补充磋商小组根据与供应商磋商情况变动的磋商文件的内容，包括采购需求中的技术、服务要求以及合同草案条款。）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bCs/>
                <w:color w:val="auto"/>
                <w:sz w:val="24"/>
                <w:szCs w:val="28"/>
                <w:highlight w:val="none"/>
              </w:rPr>
              <w:t>磋商小组</w:t>
            </w:r>
            <w:r>
              <w:rPr>
                <w:rFonts w:ascii="宋体" w:hAnsi="宋体" w:eastAsia="宋体"/>
                <w:b/>
                <w:bCs/>
                <w:color w:val="auto"/>
                <w:sz w:val="24"/>
                <w:szCs w:val="28"/>
                <w:highlight w:val="none"/>
              </w:rPr>
              <w:t>签字</w:t>
            </w:r>
          </w:p>
        </w:tc>
        <w:tc>
          <w:tcPr>
            <w:tcW w:w="3557" w:type="pct"/>
          </w:tcPr>
          <w:p>
            <w:pPr>
              <w:spacing w:line="360" w:lineRule="auto"/>
              <w:rPr>
                <w:rFonts w:ascii="宋体" w:hAnsi="宋体" w:eastAsia="宋体"/>
                <w:b/>
                <w:color w:val="auto"/>
                <w:sz w:val="24"/>
                <w:highlight w:val="none"/>
              </w:rPr>
            </w:pPr>
          </w:p>
        </w:tc>
      </w:tr>
    </w:tbl>
    <w:p>
      <w:pPr>
        <w:spacing w:line="360" w:lineRule="auto"/>
        <w:ind w:firstLine="1680" w:firstLineChars="700"/>
        <w:jc w:val="left"/>
        <w:rPr>
          <w:rFonts w:ascii="宋体" w:hAnsi="宋体" w:eastAsia="宋体"/>
          <w:color w:val="auto"/>
          <w:sz w:val="24"/>
          <w:highlight w:val="none"/>
        </w:rPr>
      </w:pPr>
      <w:r>
        <w:rPr>
          <w:rFonts w:hint="eastAsia" w:ascii="宋体" w:hAnsi="宋体" w:eastAsia="宋体"/>
          <w:color w:val="auto"/>
          <w:sz w:val="24"/>
          <w:highlight w:val="none"/>
        </w:rPr>
        <w:t xml:space="preserve">                            供应商公章或授权代表签字：</w:t>
      </w:r>
    </w:p>
    <w:p>
      <w:pPr>
        <w:spacing w:line="360" w:lineRule="auto"/>
        <w:ind w:firstLine="5040" w:firstLineChars="2100"/>
        <w:jc w:val="left"/>
        <w:rPr>
          <w:rFonts w:ascii="宋体" w:hAnsi="宋体" w:eastAsia="宋体"/>
          <w:color w:val="auto"/>
          <w:sz w:val="24"/>
          <w:highlight w:val="none"/>
          <w:u w:val="single"/>
        </w:rPr>
      </w:pPr>
      <w:r>
        <w:rPr>
          <w:rFonts w:hint="eastAsia" w:ascii="宋体" w:hAnsi="宋体" w:eastAsia="宋体"/>
          <w:color w:val="auto"/>
          <w:sz w:val="24"/>
          <w:highlight w:val="none"/>
        </w:rPr>
        <w:t xml:space="preserve">日      期：                    </w:t>
      </w:r>
    </w:p>
    <w:p>
      <w:pPr>
        <w:spacing w:line="360" w:lineRule="auto"/>
        <w:jc w:val="left"/>
        <w:rPr>
          <w:rFonts w:hint="eastAsia" w:ascii="宋体" w:hAnsi="宋体" w:eastAsia="宋体"/>
          <w:b/>
          <w:bCs/>
          <w:color w:val="auto"/>
          <w:sz w:val="24"/>
          <w:highlight w:val="none"/>
        </w:rPr>
      </w:pPr>
      <w:r>
        <w:rPr>
          <w:rFonts w:hint="eastAsia" w:ascii="宋体" w:hAnsi="宋体" w:eastAsia="宋体"/>
          <w:b/>
          <w:bCs/>
          <w:color w:val="auto"/>
          <w:sz w:val="24"/>
          <w:highlight w:val="none"/>
        </w:rPr>
        <w:t>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ascii="宋体" w:hAnsi="宋体" w:eastAsia="宋体"/>
          <w:bCs/>
          <w:color w:val="auto"/>
          <w:sz w:val="24"/>
          <w:highlight w:val="none"/>
        </w:rPr>
      </w:pPr>
      <w:r>
        <w:rPr>
          <w:rFonts w:hint="eastAsia" w:ascii="宋体" w:hAnsi="宋体" w:eastAsia="宋体"/>
          <w:b/>
          <w:bCs/>
          <w:color w:val="auto"/>
          <w:sz w:val="24"/>
          <w:highlight w:val="none"/>
          <w:lang w:val="en-US" w:eastAsia="zh-CN"/>
        </w:rPr>
        <w:t>1.</w:t>
      </w:r>
      <w:r>
        <w:rPr>
          <w:rFonts w:hint="eastAsia" w:ascii="宋体" w:hAnsi="宋体" w:eastAsia="宋体"/>
          <w:b/>
          <w:bCs/>
          <w:color w:val="auto"/>
          <w:sz w:val="24"/>
          <w:highlight w:val="none"/>
        </w:rPr>
        <w:t>本页《报价表》由供应商在接到报价通知后依据磋商情况填写,并在规定时间内提交。</w:t>
      </w:r>
      <w:r>
        <w:rPr>
          <w:rFonts w:hint="eastAsia" w:ascii="宋体" w:hAnsi="宋体" w:eastAsia="宋体"/>
          <w:color w:val="auto"/>
          <w:sz w:val="24"/>
          <w:highlight w:val="none"/>
        </w:rPr>
        <w:t>考虑磋商报价的方便，供应商在填写最后承诺报价后，（第一次报价-最后承诺报价）除以第一次报价后得出的优惠率视同为需求表中全部分项设备、工程量或服务的优惠浮动值（特定分项优惠除外），而不考虑措施项目清单和规费税金清单的金额改变。</w:t>
      </w:r>
      <w:r>
        <w:rPr>
          <w:rFonts w:hint="eastAsia" w:ascii="宋体" w:hAnsi="宋体" w:eastAsia="宋体"/>
          <w:bCs/>
          <w:color w:val="auto"/>
          <w:sz w:val="24"/>
          <w:highlight w:val="none"/>
        </w:rPr>
        <w:t>此优惠率调整原则适用于合同内价格的计算及项目增减、变更时价格的计算。</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bCs/>
          <w:color w:val="auto"/>
          <w:sz w:val="24"/>
          <w:highlight w:val="none"/>
        </w:rPr>
      </w:pPr>
      <w:r>
        <w:rPr>
          <w:rFonts w:hint="eastAsia" w:ascii="宋体" w:hAnsi="宋体" w:eastAsia="宋体"/>
          <w:b/>
          <w:bCs/>
          <w:color w:val="auto"/>
          <w:sz w:val="24"/>
          <w:szCs w:val="28"/>
          <w:highlight w:val="none"/>
          <w:lang w:val="en-US" w:eastAsia="zh-CN"/>
        </w:rPr>
        <w:t>2</w:t>
      </w:r>
      <w:r>
        <w:rPr>
          <w:rFonts w:hint="eastAsia" w:ascii="宋体" w:hAnsi="宋体" w:eastAsia="宋体"/>
          <w:b/>
          <w:bCs/>
          <w:color w:val="auto"/>
          <w:sz w:val="24"/>
          <w:szCs w:val="28"/>
          <w:highlight w:val="none"/>
        </w:rPr>
        <w:t>.表中大写金额与小写金额不一致的，以大写金额为准。</w:t>
      </w:r>
    </w:p>
    <w:p>
      <w:pPr>
        <w:widowControl/>
        <w:jc w:val="left"/>
        <w:rPr>
          <w:rFonts w:ascii="宋体" w:hAnsi="宋体" w:eastAsia="宋体"/>
          <w:bCs/>
          <w:color w:val="auto"/>
          <w:sz w:val="24"/>
          <w:highlight w:val="none"/>
        </w:rPr>
      </w:pPr>
      <w:r>
        <w:rPr>
          <w:rFonts w:ascii="宋体" w:hAnsi="宋体" w:eastAsia="宋体"/>
          <w:bCs/>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56" w:name="_Toc32385"/>
      <w:bookmarkStart w:id="257" w:name="_Toc520983591"/>
      <w:bookmarkStart w:id="258" w:name="_Toc11500"/>
      <w:r>
        <w:rPr>
          <w:rFonts w:hint="eastAsia" w:asciiTheme="minorEastAsia" w:hAnsiTheme="minorEastAsia" w:eastAsiaTheme="minorEastAsia"/>
          <w:b/>
          <w:color w:val="auto"/>
          <w:sz w:val="24"/>
          <w:highlight w:val="none"/>
        </w:rPr>
        <w:t>三、磋商响应函</w:t>
      </w:r>
      <w:bookmarkEnd w:id="256"/>
      <w:bookmarkEnd w:id="257"/>
      <w:bookmarkEnd w:id="258"/>
    </w:p>
    <w:p>
      <w:pPr>
        <w:pStyle w:val="11"/>
        <w:spacing w:line="360" w:lineRule="auto"/>
        <w:rPr>
          <w:rFonts w:hint="eastAsia" w:ascii="宋体" w:hAnsi="宋体" w:eastAsia="宋体"/>
          <w:color w:val="auto"/>
          <w:sz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lang w:val="en-US" w:eastAsia="zh-CN"/>
        </w:rPr>
        <w:t>采购人</w:t>
      </w:r>
    </w:p>
    <w:p>
      <w:pPr>
        <w:spacing w:line="360" w:lineRule="auto"/>
        <w:ind w:firstLine="480" w:firstLineChars="200"/>
        <w:rPr>
          <w:rFonts w:ascii="宋体" w:hAnsi="宋体" w:eastAsia="宋体"/>
          <w:dstrike/>
          <w:color w:val="auto"/>
          <w:sz w:val="24"/>
          <w:highlight w:val="yellow"/>
        </w:rPr>
      </w:pPr>
      <w:r>
        <w:rPr>
          <w:rFonts w:hint="eastAsia" w:ascii="宋体" w:hAnsi="宋体" w:eastAsia="宋体"/>
          <w:color w:val="auto"/>
          <w:sz w:val="24"/>
          <w:highlight w:val="none"/>
        </w:rPr>
        <w:t>根据贵方的</w:t>
      </w:r>
      <w:bookmarkStart w:id="259" w:name="_Hlk44287543"/>
      <w:r>
        <w:rPr>
          <w:rFonts w:hint="eastAsia" w:ascii="宋体" w:hAnsi="宋体" w:eastAsia="宋体"/>
          <w:color w:val="auto"/>
          <w:sz w:val="24"/>
          <w:highlight w:val="none"/>
        </w:rPr>
        <w:t>竞争性磋商公告和磋商邀请</w:t>
      </w:r>
      <w:bookmarkEnd w:id="259"/>
      <w:r>
        <w:rPr>
          <w:rFonts w:hint="eastAsia" w:ascii="宋体" w:hAnsi="宋体" w:eastAsia="宋体"/>
          <w:color w:val="auto"/>
          <w:sz w:val="24"/>
          <w:highlight w:val="none"/>
        </w:rPr>
        <w:t>，我方兹宣布同意如下：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w:t>
      </w:r>
      <w:r>
        <w:rPr>
          <w:rFonts w:hint="eastAsia" w:ascii="宋体" w:hAnsi="宋体" w:eastAsia="宋体" w:cs="宋体"/>
          <w:color w:val="auto"/>
          <w:sz w:val="24"/>
          <w:szCs w:val="24"/>
          <w:highlight w:val="none"/>
        </w:rPr>
        <w:t>我方根据</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文件的规定，严格履行合同的责任和义务,并保证于买方要求的日期内完成，并通过买方验收。</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.我方已详细审核全部</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文件，包括</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lang w:val="en-US" w:eastAsia="zh-CN"/>
        </w:rPr>
        <w:t>附件及更正公告</w:t>
      </w:r>
      <w:r>
        <w:rPr>
          <w:rFonts w:hint="eastAsia" w:asciiTheme="minorEastAsia" w:hAnsiTheme="minorEastAsia" w:eastAsiaTheme="minorEastAsia"/>
          <w:color w:val="auto"/>
          <w:sz w:val="24"/>
          <w:highlight w:val="none"/>
        </w:rPr>
        <w:t>（如有）</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我方正式认可并遵守本次</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文件，并对</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文件各项条款、规定及要求均无异议。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.我方同意从</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文件规定的</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日期起遵循本</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文件，并在</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文件规定的</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有效期之前均具有约束力。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文件所提供的一切资料均真实无误、及时、有效，企业运营正常。由于我方提供资料不实而造成的责任和后果由我方承担。我方同意按照贵方提出的要求，提供与</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有关的任何证据、数据或资料。</w:t>
      </w:r>
    </w:p>
    <w:p>
      <w:pPr>
        <w:spacing w:line="360" w:lineRule="auto"/>
        <w:ind w:firstLine="480" w:firstLineChars="200"/>
        <w:rPr>
          <w:rFonts w:ascii="宋体" w:hAnsi="宋体" w:eastAsia="宋体"/>
          <w:color w:val="auto"/>
          <w:sz w:val="24"/>
          <w:highlight w:val="none"/>
        </w:rPr>
      </w:pPr>
    </w:p>
    <w:p>
      <w:pPr>
        <w:spacing w:line="360" w:lineRule="auto"/>
        <w:ind w:firstLine="4800" w:firstLineChars="20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widowControl/>
        <w:jc w:val="left"/>
        <w:rPr>
          <w:rFonts w:ascii="宋体" w:hAnsi="宋体" w:eastAsia="宋体"/>
          <w:color w:val="auto"/>
          <w:sz w:val="24"/>
          <w:highlight w:val="none"/>
        </w:rPr>
      </w:pPr>
      <w:r>
        <w:rPr>
          <w:rFonts w:ascii="宋体" w:hAnsi="宋体" w:eastAsia="宋体"/>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60" w:name="_Toc21328"/>
      <w:r>
        <w:rPr>
          <w:rFonts w:hint="eastAsia" w:asciiTheme="minorEastAsia" w:hAnsiTheme="minorEastAsia" w:eastAsiaTheme="minorEastAsia"/>
          <w:b/>
          <w:color w:val="auto"/>
          <w:sz w:val="24"/>
          <w:highlight w:val="none"/>
          <w:lang w:val="en-US" w:eastAsia="zh-CN"/>
        </w:rPr>
        <w:t>四、供应商资格声明书</w:t>
      </w:r>
      <w:bookmarkEnd w:id="260"/>
    </w:p>
    <w:p>
      <w:pPr>
        <w:pStyle w:val="11"/>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none"/>
          <w:lang w:val="en-US"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在参与本次项目磋商中，我单位承诺：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（五）我单位不存在为采购项目提供整体设计、规范编制或者项目管理、监理、检测等服务后，再参加该采购项目的其他采购活动的情形（单一来源采购项目除外）；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（六）与我单位存在单位负责人为同一人或者存在直接控股、管理关系的其他法人单位信息如下（如有，不论其是否参加同一合同项下的政府采购活动均须填写）：</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4"/>
        <w:gridCol w:w="4501"/>
        <w:gridCol w:w="2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4501" w:type="dxa"/>
          </w:tcPr>
          <w:p>
            <w:pPr>
              <w:pStyle w:val="8"/>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2681" w:type="dxa"/>
          </w:tcPr>
          <w:p>
            <w:pPr>
              <w:pStyle w:val="8"/>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tcPr>
          <w:p>
            <w:pPr>
              <w:pStyle w:val="8"/>
              <w:jc w:val="center"/>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4501" w:type="dxa"/>
          </w:tcPr>
          <w:p>
            <w:pPr>
              <w:pStyle w:val="8"/>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681" w:type="dxa"/>
          </w:tcPr>
          <w:p>
            <w:pPr>
              <w:pStyle w:val="8"/>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tcPr>
          <w:p>
            <w:pPr>
              <w:pStyle w:val="8"/>
              <w:jc w:val="center"/>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4501" w:type="dxa"/>
          </w:tcPr>
          <w:p>
            <w:pPr>
              <w:pStyle w:val="8"/>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681" w:type="dxa"/>
          </w:tcPr>
          <w:p>
            <w:pPr>
              <w:pStyle w:val="8"/>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p>
    <w:p>
      <w:pPr>
        <w:widowControl/>
        <w:jc w:val="left"/>
        <w:rPr>
          <w:rFonts w:ascii="宋体" w:hAnsi="宋体" w:eastAsia="宋体"/>
          <w:color w:val="auto"/>
          <w:sz w:val="24"/>
          <w:highlight w:val="none"/>
        </w:rPr>
      </w:pPr>
      <w:r>
        <w:rPr>
          <w:rFonts w:ascii="宋体" w:hAnsi="宋体" w:eastAsia="宋体"/>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61" w:name="_Toc516969106"/>
      <w:bookmarkStart w:id="262" w:name="_Toc31518"/>
      <w:bookmarkStart w:id="263" w:name="_Toc204594911"/>
      <w:bookmarkStart w:id="264" w:name="_Toc121626298"/>
      <w:bookmarkStart w:id="265" w:name="_Toc520983594"/>
      <w:bookmarkStart w:id="266" w:name="_Toc26922"/>
      <w:r>
        <w:rPr>
          <w:rFonts w:hint="eastAsia" w:asciiTheme="minorEastAsia" w:hAnsiTheme="minorEastAsia" w:eastAsiaTheme="minorEastAsia"/>
          <w:b/>
          <w:color w:val="auto"/>
          <w:sz w:val="24"/>
          <w:highlight w:val="none"/>
        </w:rPr>
        <w:t>五、授权书</w:t>
      </w:r>
      <w:bookmarkEnd w:id="261"/>
      <w:bookmarkEnd w:id="262"/>
      <w:bookmarkEnd w:id="263"/>
      <w:bookmarkEnd w:id="264"/>
      <w:bookmarkEnd w:id="265"/>
      <w:bookmarkEnd w:id="266"/>
    </w:p>
    <w:p>
      <w:pPr>
        <w:spacing w:line="360" w:lineRule="auto"/>
        <w:jc w:val="center"/>
        <w:rPr>
          <w:rFonts w:asciiTheme="minorEastAsia" w:hAnsiTheme="minorEastAsia" w:eastAsiaTheme="minorEastAsia"/>
          <w:b/>
          <w:color w:val="auto"/>
          <w:sz w:val="24"/>
          <w:highlight w:val="none"/>
        </w:rPr>
      </w:pPr>
    </w:p>
    <w:p>
      <w:pPr>
        <w:pStyle w:val="10"/>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磋商过程的一切事宜，包括但不限于：提交响应文件、参与磋商、签约等。供应商授权代表在采购活动过程中所签署的一切文件和处理与之有关的一切事务，本公司均予以认可并对此承担责任。供应商授权代表无转委托权。特此授权。</w:t>
      </w:r>
    </w:p>
    <w:p>
      <w:pPr>
        <w:pStyle w:val="10"/>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pPr>
        <w:pStyle w:val="10"/>
        <w:snapToGrid w:val="0"/>
        <w:spacing w:line="360" w:lineRule="auto"/>
        <w:ind w:firstLine="480" w:firstLineChars="200"/>
        <w:jc w:val="left"/>
        <w:rPr>
          <w:rFonts w:hAnsi="宋体" w:eastAsia="宋体"/>
          <w:color w:val="auto"/>
          <w:sz w:val="24"/>
          <w:highlight w:val="none"/>
        </w:rPr>
      </w:pPr>
      <w:r>
        <w:rPr>
          <w:rFonts w:hint="eastAsia" w:hAnsi="宋体" w:eastAsia="宋体"/>
          <w:color w:val="auto"/>
          <w:sz w:val="24"/>
          <w:szCs w:val="28"/>
          <w:highlight w:val="none"/>
        </w:rPr>
        <w:t>授权代表</w:t>
      </w:r>
      <w:r>
        <w:rPr>
          <w:rFonts w:hint="eastAsia" w:hAnsi="宋体" w:eastAsia="宋体"/>
          <w:color w:val="auto"/>
          <w:sz w:val="24"/>
          <w:highlight w:val="none"/>
        </w:rPr>
        <w:t>身份证明扫描件：</w:t>
      </w:r>
    </w:p>
    <w:p>
      <w:pPr>
        <w:pStyle w:val="10"/>
        <w:snapToGrid w:val="0"/>
        <w:spacing w:line="360" w:lineRule="auto"/>
        <w:ind w:firstLine="480" w:firstLineChars="200"/>
        <w:jc w:val="left"/>
        <w:rPr>
          <w:rFonts w:hAnsi="宋体" w:eastAsia="宋体"/>
          <w:color w:val="auto"/>
          <w:sz w:val="24"/>
          <w:highlight w:val="none"/>
        </w:rPr>
      </w:pPr>
    </w:p>
    <w:p>
      <w:pPr>
        <w:pStyle w:val="10"/>
        <w:snapToGrid w:val="0"/>
        <w:spacing w:line="360" w:lineRule="auto"/>
        <w:ind w:firstLine="480" w:firstLineChars="200"/>
        <w:jc w:val="left"/>
        <w:rPr>
          <w:rFonts w:hAnsi="宋体" w:eastAsia="宋体"/>
          <w:color w:val="auto"/>
          <w:sz w:val="24"/>
          <w:highlight w:val="none"/>
        </w:rPr>
      </w:pPr>
    </w:p>
    <w:p>
      <w:pPr>
        <w:pStyle w:val="10"/>
        <w:snapToGrid w:val="0"/>
        <w:spacing w:line="360" w:lineRule="auto"/>
        <w:ind w:firstLine="480" w:firstLineChars="200"/>
        <w:jc w:val="left"/>
        <w:rPr>
          <w:rFonts w:hAnsi="宋体" w:eastAsia="宋体"/>
          <w:color w:val="auto"/>
          <w:sz w:val="24"/>
          <w:highlight w:val="none"/>
        </w:rPr>
      </w:pPr>
    </w:p>
    <w:p>
      <w:pPr>
        <w:pStyle w:val="10"/>
        <w:snapToGrid w:val="0"/>
        <w:spacing w:line="360" w:lineRule="auto"/>
        <w:ind w:firstLine="480" w:firstLineChars="200"/>
        <w:jc w:val="left"/>
        <w:rPr>
          <w:rFonts w:hAnsi="宋体" w:eastAsia="宋体"/>
          <w:color w:val="auto"/>
          <w:sz w:val="24"/>
          <w:highlight w:val="none"/>
        </w:rPr>
      </w:pPr>
    </w:p>
    <w:p>
      <w:pPr>
        <w:pStyle w:val="10"/>
        <w:snapToGrid w:val="0"/>
        <w:spacing w:line="360" w:lineRule="auto"/>
        <w:ind w:firstLine="480" w:firstLineChars="200"/>
        <w:jc w:val="left"/>
        <w:rPr>
          <w:rFonts w:hAnsi="宋体" w:eastAsia="宋体"/>
          <w:color w:val="auto"/>
          <w:sz w:val="24"/>
          <w:szCs w:val="28"/>
          <w:highlight w:val="none"/>
          <w:u w:val="single"/>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pPr>
        <w:pStyle w:val="10"/>
        <w:snapToGrid w:val="0"/>
        <w:spacing w:line="360" w:lineRule="auto"/>
        <w:ind w:firstLine="480" w:firstLineChars="200"/>
        <w:jc w:val="left"/>
        <w:rPr>
          <w:rFonts w:hAnsi="宋体" w:eastAsia="宋体"/>
          <w:color w:val="auto"/>
          <w:sz w:val="24"/>
          <w:szCs w:val="28"/>
          <w:highlight w:val="none"/>
        </w:rPr>
      </w:pPr>
    </w:p>
    <w:p>
      <w:pPr>
        <w:spacing w:line="360" w:lineRule="auto"/>
        <w:ind w:firstLine="360" w:firstLineChars="150"/>
        <w:rPr>
          <w:rFonts w:ascii="宋体" w:hAnsi="宋体" w:eastAsia="宋体"/>
          <w:color w:val="auto"/>
          <w:sz w:val="24"/>
          <w:szCs w:val="28"/>
          <w:highlight w:val="none"/>
        </w:rPr>
      </w:pPr>
      <w:r>
        <w:rPr>
          <w:rFonts w:hint="eastAsia" w:ascii="宋体" w:hAnsi="宋体" w:eastAsia="宋体"/>
          <w:color w:val="auto"/>
          <w:sz w:val="24"/>
          <w:szCs w:val="28"/>
          <w:highlight w:val="none"/>
        </w:rPr>
        <w:t>特此声明。</w:t>
      </w:r>
    </w:p>
    <w:p>
      <w:pPr>
        <w:spacing w:line="360" w:lineRule="auto"/>
        <w:rPr>
          <w:rFonts w:ascii="宋体" w:hAnsi="宋体" w:eastAsia="宋体"/>
          <w:color w:val="auto"/>
          <w:sz w:val="24"/>
          <w:szCs w:val="28"/>
          <w:highlight w:val="none"/>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szCs w:val="28"/>
          <w:highlight w:val="non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spacing w:line="360" w:lineRule="auto"/>
        <w:rPr>
          <w:rFonts w:ascii="宋体" w:hAnsi="宋体" w:eastAsia="宋体"/>
          <w:color w:val="auto"/>
          <w:sz w:val="24"/>
          <w:szCs w:val="28"/>
          <w:highlight w:val="none"/>
        </w:rPr>
      </w:pPr>
    </w:p>
    <w:p>
      <w:pPr>
        <w:spacing w:line="360" w:lineRule="auto"/>
        <w:rPr>
          <w:rFonts w:ascii="宋体" w:hAnsi="宋体" w:eastAsia="宋体"/>
          <w:color w:val="auto"/>
          <w:sz w:val="24"/>
          <w:szCs w:val="28"/>
          <w:highlight w:val="none"/>
        </w:rPr>
      </w:pPr>
    </w:p>
    <w:p>
      <w:pPr>
        <w:pStyle w:val="10"/>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注：</w:t>
      </w:r>
    </w:p>
    <w:p>
      <w:pPr>
        <w:pStyle w:val="10"/>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1.本项目只允许有唯一的供应商授权代表，提供身份证明扫描件；</w:t>
      </w:r>
    </w:p>
    <w:p>
      <w:pPr>
        <w:spacing w:line="360" w:lineRule="auto"/>
        <w:jc w:val="left"/>
        <w:rPr>
          <w:rFonts w:ascii="宋体" w:hAnsi="宋体" w:eastAsia="宋体"/>
          <w:color w:val="auto"/>
          <w:sz w:val="24"/>
          <w:highlight w:val="none"/>
        </w:rPr>
      </w:pPr>
      <w:r>
        <w:rPr>
          <w:rFonts w:hint="eastAsia" w:ascii="宋体" w:hAnsi="宋体" w:eastAsia="宋体"/>
          <w:color w:val="auto"/>
          <w:sz w:val="24"/>
          <w:highlight w:val="none"/>
        </w:rPr>
        <w:t>2.法定代表人参加磋商的无需提供授权书，仅提供身份证明扫描件。</w:t>
      </w:r>
    </w:p>
    <w:p>
      <w:pPr>
        <w:widowControl/>
        <w:jc w:val="left"/>
        <w:rPr>
          <w:rFonts w:ascii="宋体" w:hAnsi="宋体" w:eastAsia="宋体"/>
          <w:color w:val="auto"/>
          <w:sz w:val="24"/>
          <w:highlight w:val="none"/>
        </w:rPr>
      </w:pPr>
      <w:r>
        <w:rPr>
          <w:rFonts w:ascii="宋体" w:hAnsi="宋体" w:eastAsia="宋体"/>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67" w:name="_Toc22233"/>
      <w:bookmarkStart w:id="268" w:name="_Toc28033"/>
      <w:r>
        <w:rPr>
          <w:rFonts w:hint="eastAsia" w:asciiTheme="minorEastAsia" w:hAnsiTheme="minorEastAsia" w:eastAsiaTheme="minorEastAsia"/>
          <w:b/>
          <w:color w:val="auto"/>
          <w:sz w:val="24"/>
          <w:highlight w:val="none"/>
        </w:rPr>
        <w:t>六、商务响应表</w:t>
      </w:r>
      <w:bookmarkEnd w:id="267"/>
      <w:bookmarkEnd w:id="268"/>
    </w:p>
    <w:p>
      <w:pPr>
        <w:spacing w:line="360" w:lineRule="auto"/>
        <w:ind w:firstLine="435"/>
        <w:rPr>
          <w:rFonts w:asciiTheme="minorEastAsia" w:hAnsiTheme="minorEastAsia" w:eastAsiaTheme="minorEastAsia"/>
          <w:b/>
          <w:color w:val="auto"/>
          <w:sz w:val="24"/>
          <w:highlight w:val="none"/>
        </w:rPr>
      </w:pPr>
    </w:p>
    <w:tbl>
      <w:tblPr>
        <w:tblStyle w:val="2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916"/>
        <w:gridCol w:w="2497"/>
        <w:gridCol w:w="2575"/>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724" w:type="dxa"/>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916" w:type="dxa"/>
            <w:vAlign w:val="center"/>
          </w:tcPr>
          <w:p>
            <w:pPr>
              <w:pStyle w:val="10"/>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商务条款</w:t>
            </w:r>
          </w:p>
        </w:tc>
        <w:tc>
          <w:tcPr>
            <w:tcW w:w="2497" w:type="dxa"/>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磋商文件要求</w:t>
            </w:r>
          </w:p>
        </w:tc>
        <w:tc>
          <w:tcPr>
            <w:tcW w:w="2575" w:type="dxa"/>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供应商承诺</w:t>
            </w:r>
          </w:p>
        </w:tc>
        <w:tc>
          <w:tcPr>
            <w:tcW w:w="810" w:type="dxa"/>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1916" w:type="dxa"/>
            <w:vAlign w:val="center"/>
          </w:tcPr>
          <w:p>
            <w:pPr>
              <w:jc w:val="center"/>
              <w:rPr>
                <w:rFonts w:ascii="宋体" w:hAnsi="宋体" w:eastAsia="宋体"/>
                <w:color w:val="auto"/>
                <w:sz w:val="24"/>
                <w:highlight w:val="none"/>
              </w:rPr>
            </w:pPr>
            <w:r>
              <w:rPr>
                <w:rFonts w:asciiTheme="minorEastAsia" w:hAnsiTheme="minorEastAsia" w:eastAsiaTheme="minorEastAsia"/>
                <w:color w:val="auto"/>
                <w:sz w:val="24"/>
                <w:highlight w:val="none"/>
              </w:rPr>
              <w:t>付款方式</w:t>
            </w: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jc w:val="center"/>
              <w:rPr>
                <w:rFonts w:asciiTheme="minorEastAsia" w:hAnsiTheme="minorEastAsia" w:eastAsiaTheme="minorEastAsia"/>
                <w:color w:val="auto"/>
                <w:sz w:val="24"/>
                <w:highlight w:val="none"/>
              </w:rPr>
            </w:pPr>
          </w:p>
        </w:tc>
        <w:tc>
          <w:tcPr>
            <w:tcW w:w="810"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916" w:type="dxa"/>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服务地点</w:t>
            </w: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jc w:val="center"/>
              <w:rPr>
                <w:rFonts w:asciiTheme="minorEastAsia" w:hAnsiTheme="minorEastAsia" w:eastAsiaTheme="minorEastAsia"/>
                <w:color w:val="auto"/>
                <w:sz w:val="24"/>
                <w:highlight w:val="none"/>
              </w:rPr>
            </w:pPr>
          </w:p>
        </w:tc>
        <w:tc>
          <w:tcPr>
            <w:tcW w:w="810"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916" w:type="dxa"/>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服务期限</w:t>
            </w: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pStyle w:val="45"/>
              <w:jc w:val="center"/>
              <w:rPr>
                <w:rFonts w:asciiTheme="minorEastAsia" w:hAnsiTheme="minorEastAsia" w:eastAsiaTheme="minorEastAsia"/>
                <w:color w:val="auto"/>
                <w:highlight w:val="none"/>
              </w:rPr>
            </w:pPr>
          </w:p>
        </w:tc>
        <w:tc>
          <w:tcPr>
            <w:tcW w:w="810"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916" w:type="dxa"/>
            <w:vAlign w:val="center"/>
          </w:tcPr>
          <w:p>
            <w:pPr>
              <w:jc w:val="center"/>
              <w:rPr>
                <w:rFonts w:ascii="宋体" w:hAnsi="宋体" w:eastAsia="宋体"/>
                <w:color w:val="auto"/>
                <w:sz w:val="24"/>
                <w:highlight w:val="none"/>
              </w:rPr>
            </w:pP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jc w:val="center"/>
              <w:rPr>
                <w:rFonts w:asciiTheme="minorEastAsia" w:hAnsiTheme="minorEastAsia" w:eastAsiaTheme="minorEastAsia"/>
                <w:color w:val="auto"/>
                <w:sz w:val="24"/>
                <w:highlight w:val="none"/>
              </w:rPr>
            </w:pPr>
          </w:p>
        </w:tc>
        <w:tc>
          <w:tcPr>
            <w:tcW w:w="810" w:type="dxa"/>
            <w:vAlign w:val="center"/>
          </w:tcPr>
          <w:p>
            <w:pPr>
              <w:jc w:val="center"/>
              <w:rPr>
                <w:rFonts w:asciiTheme="minorEastAsia" w:hAnsiTheme="minorEastAsia" w:eastAsiaTheme="minorEastAsia"/>
                <w:color w:val="auto"/>
                <w:sz w:val="24"/>
                <w:highlight w:val="none"/>
              </w:rPr>
            </w:pPr>
          </w:p>
        </w:tc>
      </w:tr>
    </w:tbl>
    <w:p>
      <w:pPr>
        <w:pStyle w:val="11"/>
        <w:spacing w:line="360" w:lineRule="auto"/>
        <w:rPr>
          <w:rFonts w:asciiTheme="minorEastAsia" w:hAnsiTheme="minorEastAsia" w:eastAsiaTheme="minorEastAsia"/>
          <w:b/>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69" w:name="_Toc29455"/>
      <w:bookmarkStart w:id="270" w:name="_Toc11260"/>
      <w:r>
        <w:rPr>
          <w:rFonts w:hint="eastAsia" w:asciiTheme="minorEastAsia" w:hAnsiTheme="minorEastAsia" w:eastAsiaTheme="minorEastAsia"/>
          <w:b/>
          <w:color w:val="auto"/>
          <w:sz w:val="24"/>
          <w:highlight w:val="none"/>
          <w:lang w:val="en-US" w:eastAsia="zh-CN"/>
        </w:rPr>
        <w:t>七</w:t>
      </w:r>
      <w:r>
        <w:rPr>
          <w:rFonts w:hint="eastAsia" w:asciiTheme="minorEastAsia" w:hAnsiTheme="minorEastAsia" w:eastAsiaTheme="minorEastAsia"/>
          <w:b/>
          <w:color w:val="auto"/>
          <w:sz w:val="24"/>
          <w:highlight w:val="none"/>
        </w:rPr>
        <w:t>、联合协议</w:t>
      </w:r>
      <w:bookmarkEnd w:id="269"/>
      <w:bookmarkEnd w:id="270"/>
    </w:p>
    <w:p>
      <w:pPr>
        <w:pStyle w:val="18"/>
        <w:spacing w:line="360" w:lineRule="auto"/>
        <w:jc w:val="center"/>
        <w:rPr>
          <w:rFonts w:asciiTheme="minorEastAsia" w:hAnsiTheme="minorEastAsia" w:eastAsiaTheme="minorEastAsia"/>
          <w:color w:val="auto"/>
          <w:sz w:val="24"/>
          <w:highlight w:val="none"/>
        </w:rPr>
      </w:pPr>
      <w:r>
        <w:rPr>
          <w:rFonts w:hint="eastAsia" w:ascii="宋体" w:hAnsi="宋体" w:eastAsia="宋体"/>
          <w:b w:val="0"/>
          <w:i/>
          <w:color w:val="FF0000"/>
          <w:sz w:val="24"/>
          <w:highlight w:val="none"/>
        </w:rPr>
        <w:t>（不允许联合体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或未组成联合体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，不需此件</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请删去“联合协议”</w:t>
      </w:r>
      <w:r>
        <w:rPr>
          <w:rFonts w:hint="eastAsia" w:ascii="宋体" w:hAnsi="宋体" w:eastAsia="宋体"/>
          <w:b w:val="0"/>
          <w:i/>
          <w:color w:val="FF0000"/>
          <w:sz w:val="24"/>
          <w:highlight w:val="none"/>
        </w:rPr>
        <w:t>；允许联合体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且</w:t>
      </w:r>
      <w:r>
        <w:rPr>
          <w:rFonts w:hint="eastAsia" w:ascii="宋体" w:hAnsi="宋体" w:eastAsia="宋体"/>
          <w:b w:val="0"/>
          <w:i/>
          <w:color w:val="FF0000"/>
          <w:sz w:val="24"/>
          <w:highlight w:val="none"/>
          <w:lang w:val="en-US" w:eastAsia="zh-CN"/>
        </w:rPr>
        <w:t>供应商</w:t>
      </w:r>
      <w:r>
        <w:rPr>
          <w:rFonts w:hint="eastAsia" w:ascii="宋体" w:hAnsi="宋体" w:eastAsia="宋体"/>
          <w:b w:val="0"/>
          <w:i/>
          <w:color w:val="FF0000"/>
          <w:sz w:val="24"/>
          <w:highlight w:val="none"/>
        </w:rPr>
        <w:t>为联合体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的，请将此件制成扫描件上传</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本项目的磋商，</w:t>
      </w:r>
      <w:r>
        <w:rPr>
          <w:rFonts w:asciiTheme="minorEastAsia" w:hAnsiTheme="minorEastAsia" w:eastAsiaTheme="minorEastAsia"/>
          <w:color w:val="auto"/>
          <w:sz w:val="24"/>
          <w:highlight w:val="none"/>
        </w:rPr>
        <w:t>现就联合体参加磋商事宜订立如下协议：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磋商阶段，联合体牵头人负责磋商项目的一切组织、协调工作，并授权代理人以联合体的名义参加项目的磋商，代理人在磋商、合同签订过程中所签署的一切文件和处理与本次磋商有关的一切事务，联合体各方均予以承认并承担法律责任。联合体成交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工作和联合体在</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pStyle w:val="18"/>
        <w:spacing w:line="360" w:lineRule="auto"/>
        <w:rPr>
          <w:rFonts w:asciiTheme="minorEastAsia" w:hAnsiTheme="minorEastAsia" w:eastAsiaTheme="minorEastAsia"/>
          <w:color w:val="auto"/>
          <w:sz w:val="24"/>
          <w:highlight w:val="none"/>
        </w:rPr>
      </w:pPr>
    </w:p>
    <w:p>
      <w:pPr>
        <w:spacing w:line="360" w:lineRule="auto"/>
        <w:ind w:right="480" w:firstLine="4680" w:firstLineChars="1950"/>
        <w:rPr>
          <w:rFonts w:asciiTheme="minorEastAsia" w:hAnsiTheme="minorEastAsia" w:eastAsiaTheme="minorEastAsia"/>
          <w:color w:val="auto"/>
          <w:sz w:val="28"/>
          <w:highlight w:val="none"/>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年</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月</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日</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71" w:name="_Toc30332"/>
      <w:bookmarkStart w:id="272" w:name="_Hlk44283017"/>
      <w:r>
        <w:rPr>
          <w:rFonts w:hint="eastAsia" w:asciiTheme="minorEastAsia" w:hAnsiTheme="minorEastAsia" w:eastAsiaTheme="minorEastAsia"/>
          <w:b/>
          <w:color w:val="auto"/>
          <w:sz w:val="24"/>
          <w:highlight w:val="none"/>
          <w:lang w:val="en-US" w:eastAsia="zh-CN"/>
        </w:rPr>
        <w:t>八、拟分包情况说明及分包意向协议</w:t>
      </w:r>
      <w:bookmarkEnd w:id="271"/>
    </w:p>
    <w:p>
      <w:pPr>
        <w:pStyle w:val="8"/>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允许合同分包且供应商采用合同分包的，请将此件制成扫描件上传，同时删去本提示内容）</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11"/>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none"/>
          <w:lang w:val="en-US" w:eastAsia="zh-CN"/>
        </w:rPr>
        <w:t>采购人</w:t>
      </w:r>
    </w:p>
    <w:p>
      <w:pPr>
        <w:pStyle w:val="8"/>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磋商，拟签订分包合同的单位情况如下表所示，我单位承诺一旦在该项目中获得采购合同将按下表所列情况进行分包，同时承诺分包承担主体不再次分包。</w:t>
      </w:r>
    </w:p>
    <w:tbl>
      <w:tblPr>
        <w:tblStyle w:val="63"/>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64"/>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64"/>
              <w:jc w:val="both"/>
              <w:rPr>
                <w:rFonts w:hint="eastAsia" w:ascii="宋体" w:hAnsi="宋体" w:eastAsia="宋体" w:cs="宋体"/>
              </w:rPr>
            </w:pPr>
          </w:p>
        </w:tc>
        <w:tc>
          <w:tcPr>
            <w:tcW w:w="1684" w:type="dxa"/>
            <w:vAlign w:val="center"/>
          </w:tcPr>
          <w:p>
            <w:pPr>
              <w:pStyle w:val="64"/>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64"/>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64"/>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64"/>
              <w:jc w:val="both"/>
              <w:rPr>
                <w:rFonts w:hint="eastAsia" w:ascii="宋体" w:hAnsi="宋体" w:eastAsia="宋体" w:cs="宋体"/>
              </w:rPr>
            </w:pPr>
          </w:p>
        </w:tc>
        <w:tc>
          <w:tcPr>
            <w:tcW w:w="1390" w:type="dxa"/>
            <w:vAlign w:val="center"/>
          </w:tcPr>
          <w:p>
            <w:pPr>
              <w:pStyle w:val="64"/>
              <w:jc w:val="both"/>
              <w:rPr>
                <w:rFonts w:hint="eastAsia" w:ascii="宋体" w:hAnsi="宋体" w:eastAsia="宋体" w:cs="宋体"/>
              </w:rPr>
            </w:pPr>
          </w:p>
        </w:tc>
        <w:tc>
          <w:tcPr>
            <w:tcW w:w="1497" w:type="dxa"/>
            <w:vAlign w:val="center"/>
          </w:tcPr>
          <w:p>
            <w:pPr>
              <w:pStyle w:val="64"/>
              <w:jc w:val="both"/>
              <w:rPr>
                <w:rFonts w:hint="eastAsia" w:ascii="宋体" w:hAnsi="宋体" w:eastAsia="宋体" w:cs="宋体"/>
              </w:rPr>
            </w:pPr>
          </w:p>
        </w:tc>
        <w:tc>
          <w:tcPr>
            <w:tcW w:w="1569" w:type="dxa"/>
            <w:vAlign w:val="center"/>
          </w:tcPr>
          <w:p>
            <w:pPr>
              <w:pStyle w:val="64"/>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64"/>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64"/>
              <w:jc w:val="both"/>
              <w:rPr>
                <w:rFonts w:hint="eastAsia" w:ascii="宋体" w:hAnsi="宋体" w:eastAsia="宋体" w:cs="宋体"/>
              </w:rPr>
            </w:pPr>
          </w:p>
        </w:tc>
        <w:tc>
          <w:tcPr>
            <w:tcW w:w="1684" w:type="dxa"/>
            <w:vAlign w:val="center"/>
          </w:tcPr>
          <w:p>
            <w:pPr>
              <w:pStyle w:val="64"/>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64"/>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64"/>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64"/>
              <w:jc w:val="both"/>
              <w:rPr>
                <w:rFonts w:hint="eastAsia" w:ascii="宋体" w:hAnsi="宋体" w:eastAsia="宋体" w:cs="宋体"/>
              </w:rPr>
            </w:pPr>
          </w:p>
        </w:tc>
        <w:tc>
          <w:tcPr>
            <w:tcW w:w="1390" w:type="dxa"/>
            <w:vAlign w:val="center"/>
          </w:tcPr>
          <w:p>
            <w:pPr>
              <w:pStyle w:val="64"/>
              <w:jc w:val="both"/>
              <w:rPr>
                <w:rFonts w:hint="eastAsia" w:ascii="宋体" w:hAnsi="宋体" w:eastAsia="宋体" w:cs="宋体"/>
              </w:rPr>
            </w:pPr>
          </w:p>
        </w:tc>
        <w:tc>
          <w:tcPr>
            <w:tcW w:w="1497" w:type="dxa"/>
            <w:vAlign w:val="center"/>
          </w:tcPr>
          <w:p>
            <w:pPr>
              <w:pStyle w:val="64"/>
              <w:jc w:val="both"/>
              <w:rPr>
                <w:rFonts w:hint="eastAsia" w:ascii="宋体" w:hAnsi="宋体" w:eastAsia="宋体" w:cs="宋体"/>
              </w:rPr>
            </w:pPr>
          </w:p>
        </w:tc>
        <w:tc>
          <w:tcPr>
            <w:tcW w:w="1569" w:type="dxa"/>
            <w:vAlign w:val="center"/>
          </w:tcPr>
          <w:p>
            <w:pPr>
              <w:pStyle w:val="64"/>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64"/>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64"/>
              <w:jc w:val="both"/>
              <w:rPr>
                <w:rFonts w:hint="eastAsia" w:ascii="宋体" w:hAnsi="宋体" w:eastAsia="宋体" w:cs="宋体"/>
              </w:rPr>
            </w:pPr>
          </w:p>
        </w:tc>
        <w:tc>
          <w:tcPr>
            <w:tcW w:w="1684" w:type="dxa"/>
            <w:vAlign w:val="center"/>
          </w:tcPr>
          <w:p>
            <w:pPr>
              <w:pStyle w:val="64"/>
              <w:jc w:val="both"/>
              <w:rPr>
                <w:rFonts w:hint="eastAsia" w:ascii="宋体" w:hAnsi="宋体" w:eastAsia="宋体" w:cs="宋体"/>
              </w:rPr>
            </w:pPr>
          </w:p>
        </w:tc>
        <w:tc>
          <w:tcPr>
            <w:tcW w:w="1122" w:type="dxa"/>
            <w:vAlign w:val="center"/>
          </w:tcPr>
          <w:p>
            <w:pPr>
              <w:pStyle w:val="64"/>
              <w:jc w:val="both"/>
              <w:rPr>
                <w:rFonts w:hint="eastAsia" w:ascii="宋体" w:hAnsi="宋体" w:eastAsia="宋体" w:cs="宋体"/>
              </w:rPr>
            </w:pPr>
          </w:p>
        </w:tc>
        <w:tc>
          <w:tcPr>
            <w:tcW w:w="1390" w:type="dxa"/>
            <w:vAlign w:val="center"/>
          </w:tcPr>
          <w:p>
            <w:pPr>
              <w:pStyle w:val="64"/>
              <w:jc w:val="both"/>
              <w:rPr>
                <w:rFonts w:hint="eastAsia" w:ascii="宋体" w:hAnsi="宋体" w:eastAsia="宋体" w:cs="宋体"/>
              </w:rPr>
            </w:pPr>
          </w:p>
        </w:tc>
        <w:tc>
          <w:tcPr>
            <w:tcW w:w="1497" w:type="dxa"/>
            <w:vAlign w:val="center"/>
          </w:tcPr>
          <w:p>
            <w:pPr>
              <w:pStyle w:val="64"/>
              <w:jc w:val="both"/>
              <w:rPr>
                <w:rFonts w:hint="eastAsia" w:ascii="宋体" w:hAnsi="宋体" w:eastAsia="宋体" w:cs="宋体"/>
              </w:rPr>
            </w:pPr>
          </w:p>
        </w:tc>
        <w:tc>
          <w:tcPr>
            <w:tcW w:w="1569" w:type="dxa"/>
            <w:vAlign w:val="center"/>
          </w:tcPr>
          <w:p>
            <w:pPr>
              <w:pStyle w:val="64"/>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64"/>
              <w:jc w:val="both"/>
              <w:rPr>
                <w:rFonts w:hint="eastAsia" w:ascii="宋体" w:hAnsi="宋体" w:eastAsia="宋体" w:cs="宋体"/>
              </w:rPr>
            </w:pPr>
          </w:p>
        </w:tc>
        <w:tc>
          <w:tcPr>
            <w:tcW w:w="1569" w:type="dxa"/>
            <w:vAlign w:val="center"/>
          </w:tcPr>
          <w:p>
            <w:pPr>
              <w:pStyle w:val="64"/>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8"/>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1.拟分包情况说明仅需加盖供应商电子签章。</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如</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文件载明本项目分包承担主体应具备的相应资质条件，则</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须在本表中列明分包承担主体的资质等级，并后附</w:t>
      </w:r>
      <w:r>
        <w:rPr>
          <w:rFonts w:hint="eastAsia" w:asciiTheme="minorEastAsia" w:hAnsiTheme="minorEastAsia" w:eastAsiaTheme="minorEastAsia"/>
          <w:color w:val="auto"/>
          <w:sz w:val="24"/>
          <w:highlight w:val="none"/>
          <w:lang w:val="en-US" w:eastAsia="zh-CN"/>
        </w:rPr>
        <w:t>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lang w:val="en-US" w:eastAsia="zh-CN"/>
        </w:rPr>
        <w:t>响应</w:t>
      </w:r>
      <w:r>
        <w:rPr>
          <w:rFonts w:hint="eastAsia" w:asciiTheme="minorEastAsia" w:hAnsiTheme="minorEastAsia" w:eastAsiaTheme="minorEastAsia"/>
          <w:b/>
          <w:bCs/>
          <w:color w:val="auto"/>
          <w:sz w:val="24"/>
          <w:highlight w:val="none"/>
        </w:rPr>
        <w:t>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5" w:type="default"/>
          <w:footerReference r:id="rId6" w:type="default"/>
          <w:pgSz w:w="11907" w:h="16840"/>
          <w:pgMar w:top="1117" w:right="1078" w:bottom="1060" w:left="1700" w:header="510" w:footer="886" w:gutter="0"/>
          <w:pgNumType w:fmt="decimal" w:start="1"/>
          <w:cols w:space="720" w:num="1"/>
        </w:sectPr>
      </w:pPr>
    </w:p>
    <w:p>
      <w:pPr>
        <w:spacing w:line="360" w:lineRule="auto"/>
        <w:jc w:val="center"/>
        <w:outlineLvl w:val="9"/>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1.本项目供应商</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项目的一切组织、协调工作，并授权代理人参加项目的</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w:t>
      </w:r>
      <w:r>
        <w:rPr>
          <w:rFonts w:hint="eastAsia" w:asciiTheme="minorEastAsia" w:hAnsiTheme="minorEastAsia" w:eastAsiaTheme="minorEastAsia"/>
          <w:sz w:val="24"/>
          <w:highlight w:val="none"/>
        </w:rPr>
        <w:t>代理人在</w:t>
      </w:r>
      <w:r>
        <w:rPr>
          <w:rFonts w:hint="eastAsia" w:asciiTheme="minorEastAsia" w:hAnsiTheme="minorEastAsia" w:eastAsiaTheme="minorEastAsia"/>
          <w:sz w:val="24"/>
          <w:highlight w:val="none"/>
          <w:lang w:val="en-US" w:eastAsia="zh-CN"/>
        </w:rPr>
        <w:t>项目采购过程</w:t>
      </w:r>
      <w:r>
        <w:rPr>
          <w:rFonts w:hint="eastAsia" w:asciiTheme="minorEastAsia" w:hAnsiTheme="minorEastAsia" w:eastAsiaTheme="minorEastAsia"/>
          <w:sz w:val="24"/>
          <w:highlight w:val="none"/>
        </w:rPr>
        <w:t>中所签</w:t>
      </w:r>
      <w:r>
        <w:rPr>
          <w:rFonts w:hint="eastAsia" w:asciiTheme="minorEastAsia" w:hAnsiTheme="minorEastAsia" w:eastAsiaTheme="minorEastAsia"/>
          <w:sz w:val="24"/>
        </w:rPr>
        <w:t>署的一切文件和处理与本次</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.成交</w:t>
      </w:r>
      <w:r>
        <w:rPr>
          <w:rFonts w:asciiTheme="minorEastAsia" w:hAnsiTheme="minorEastAsia" w:eastAsiaTheme="minorEastAsia"/>
          <w:sz w:val="24"/>
        </w:rPr>
        <w:t>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w:t>
      </w:r>
      <w:r>
        <w:rPr>
          <w:rFonts w:hint="eastAsia" w:asciiTheme="minorEastAsia" w:hAnsiTheme="minorEastAsia" w:eastAsiaTheme="minorEastAsia"/>
          <w:sz w:val="24"/>
          <w:lang w:val="en-US" w:eastAsia="zh-CN"/>
        </w:rPr>
        <w:t>成交</w:t>
      </w:r>
      <w:r>
        <w:rPr>
          <w:rFonts w:asciiTheme="minorEastAsia" w:hAnsiTheme="minorEastAsia" w:eastAsiaTheme="minorEastAsia"/>
          <w:sz w:val="24"/>
        </w:rPr>
        <w:t>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8"/>
        <w:rPr>
          <w:rFonts w:hint="default"/>
          <w:lang w:val="en-US" w:eastAsia="zh-CN"/>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18"/>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asciiTheme="minorEastAsia" w:hAnsiTheme="minorEastAsia" w:eastAsiaTheme="minorEastAsia"/>
          <w:b/>
          <w:bCs/>
          <w:sz w:val="24"/>
          <w:szCs w:val="28"/>
        </w:rPr>
      </w:pPr>
      <w:r>
        <w:rPr>
          <w:rFonts w:hint="eastAsia" w:asciiTheme="minorEastAsia" w:hAnsiTheme="minorEastAsia" w:eastAsiaTheme="minorEastAsia"/>
          <w:b/>
          <w:bCs/>
          <w:sz w:val="24"/>
          <w:szCs w:val="28"/>
        </w:rPr>
        <w:t>注：</w:t>
      </w:r>
    </w:p>
    <w:p>
      <w:pPr>
        <w:widowControl/>
        <w:jc w:val="left"/>
        <w:rPr>
          <w:rFonts w:asciiTheme="minorEastAsia" w:hAnsiTheme="minorEastAsia" w:eastAsiaTheme="minorEastAsia"/>
          <w:color w:val="auto"/>
          <w:sz w:val="24"/>
          <w:highlight w:val="none"/>
        </w:rPr>
      </w:pPr>
      <w:r>
        <w:rPr>
          <w:rFonts w:hint="eastAsia" w:asciiTheme="minorEastAsia" w:hAnsiTheme="minorEastAsia" w:eastAsiaTheme="minorEastAsia"/>
          <w:b/>
          <w:sz w:val="24"/>
        </w:rPr>
        <w:t>分包意向协议中须约定向中小企业分包的项目内容及分包内容占合同金额比例</w:t>
      </w:r>
      <w:r>
        <w:rPr>
          <w:rFonts w:hint="eastAsia" w:asciiTheme="minorEastAsia" w:hAnsiTheme="minorEastAsia" w:eastAsiaTheme="minorEastAsia"/>
          <w:b/>
          <w:sz w:val="24"/>
          <w:lang w:eastAsia="zh-CN"/>
        </w:rPr>
        <w:t>。</w:t>
      </w:r>
      <w:r>
        <w:rPr>
          <w:rFonts w:asciiTheme="minorEastAsia" w:hAnsiTheme="minorEastAsia" w:eastAsiaTheme="minorEastAsia"/>
          <w:color w:val="auto"/>
          <w:sz w:val="24"/>
          <w:highlight w:val="none"/>
        </w:rPr>
        <w:br w:type="page"/>
      </w:r>
    </w:p>
    <w:bookmarkEnd w:id="272"/>
    <w:p>
      <w:pPr>
        <w:widowControl/>
        <w:jc w:val="left"/>
        <w:rPr>
          <w:rFonts w:asciiTheme="minorEastAsia" w:hAnsiTheme="minorEastAsia" w:eastAsiaTheme="minorEastAsia"/>
          <w:color w:val="auto"/>
          <w:sz w:val="24"/>
          <w:highlight w:val="none"/>
        </w:rPr>
      </w:pPr>
    </w:p>
    <w:p>
      <w:pPr>
        <w:spacing w:line="360" w:lineRule="auto"/>
        <w:jc w:val="center"/>
        <w:outlineLvl w:val="1"/>
        <w:rPr>
          <w:rFonts w:asciiTheme="minorEastAsia" w:hAnsiTheme="minorEastAsia" w:eastAsiaTheme="minorEastAsia"/>
          <w:b/>
          <w:color w:val="auto"/>
          <w:sz w:val="24"/>
          <w:highlight w:val="none"/>
        </w:rPr>
      </w:pPr>
      <w:bookmarkStart w:id="273" w:name="_Toc17888"/>
      <w:bookmarkStart w:id="274" w:name="_Toc6445"/>
      <w:bookmarkStart w:id="275" w:name="_Hlk60608597"/>
      <w:r>
        <w:rPr>
          <w:rFonts w:hint="eastAsia" w:asciiTheme="minorEastAsia" w:hAnsiTheme="minorEastAsia" w:eastAsiaTheme="minorEastAsia"/>
          <w:b/>
          <w:color w:val="auto"/>
          <w:sz w:val="24"/>
          <w:highlight w:val="none"/>
          <w:lang w:val="en-US" w:eastAsia="zh-CN"/>
        </w:rPr>
        <w:t>九</w:t>
      </w:r>
      <w:r>
        <w:rPr>
          <w:rFonts w:hint="eastAsia" w:asciiTheme="minorEastAsia" w:hAnsiTheme="minorEastAsia" w:eastAsiaTheme="minorEastAsia"/>
          <w:b/>
          <w:color w:val="auto"/>
          <w:sz w:val="24"/>
          <w:highlight w:val="none"/>
        </w:rPr>
        <w:t>、中小企业声明函</w:t>
      </w:r>
      <w:bookmarkEnd w:id="273"/>
      <w:bookmarkEnd w:id="274"/>
    </w:p>
    <w:p>
      <w:pPr>
        <w:pStyle w:val="8"/>
        <w:keepNext w:val="0"/>
        <w:keepLines w:val="0"/>
        <w:pageBreakBefore w:val="0"/>
        <w:widowControl w:val="0"/>
        <w:kinsoku/>
        <w:wordWrap/>
        <w:overflowPunct/>
        <w:topLinePunct w:val="0"/>
        <w:autoSpaceDE/>
        <w:autoSpaceDN/>
        <w:bidi w:val="0"/>
        <w:adjustRightInd/>
        <w:snapToGrid/>
        <w:jc w:val="center"/>
        <w:textAlignment w:val="auto"/>
        <w:rPr>
          <w:rFonts w:asciiTheme="minorEastAsia" w:hAnsiTheme="minorEastAsia" w:eastAsiaTheme="minorEastAsia"/>
          <w:i/>
          <w:color w:val="auto"/>
          <w:sz w:val="24"/>
          <w:szCs w:val="24"/>
          <w:highlight w:val="none"/>
          <w:lang w:val="zh-CN"/>
        </w:rPr>
      </w:pPr>
      <w:r>
        <w:rPr>
          <w:rFonts w:hint="eastAsia" w:ascii="宋体" w:hAnsi="宋体" w:eastAsia="宋体"/>
          <w:b w:val="0"/>
          <w:i/>
          <w:color w:val="FF0000"/>
          <w:sz w:val="24"/>
          <w:highlight w:val="none"/>
          <w:lang w:val="en-US" w:eastAsia="zh-CN"/>
        </w:rPr>
        <w:t>（</w:t>
      </w:r>
      <w:r>
        <w:rPr>
          <w:rFonts w:hint="eastAsia" w:ascii="宋体" w:hAnsi="宋体" w:eastAsia="宋体"/>
          <w:b w:val="0"/>
          <w:i/>
          <w:color w:val="FF0000"/>
          <w:sz w:val="24"/>
          <w:highlight w:val="none"/>
          <w:lang w:val="zh-CN" w:eastAsia="zh-CN"/>
        </w:rPr>
        <w:t>非中小企业</w:t>
      </w:r>
      <w:r>
        <w:rPr>
          <w:rFonts w:hint="eastAsia" w:ascii="宋体" w:hAnsi="宋体" w:eastAsia="宋体"/>
          <w:b w:val="0"/>
          <w:i/>
          <w:color w:val="FF0000"/>
          <w:sz w:val="24"/>
          <w:highlight w:val="none"/>
          <w:lang w:val="en-US" w:eastAsia="zh-CN"/>
        </w:rPr>
        <w:t>磋商，不需此件，请删去“中小企业声明函”；</w:t>
      </w:r>
      <w:r>
        <w:rPr>
          <w:rFonts w:hint="eastAsia" w:ascii="宋体" w:hAnsi="宋体" w:eastAsia="宋体"/>
          <w:b w:val="0"/>
          <w:i/>
          <w:color w:val="FF0000"/>
          <w:sz w:val="24"/>
          <w:highlight w:val="none"/>
          <w:lang w:val="zh-CN" w:eastAsia="zh-CN"/>
        </w:rPr>
        <w:t>中小企业</w:t>
      </w:r>
      <w:r>
        <w:rPr>
          <w:rFonts w:hint="eastAsia" w:ascii="宋体" w:hAnsi="宋体" w:eastAsia="宋体"/>
          <w:b w:val="0"/>
          <w:i/>
          <w:color w:val="FF0000"/>
          <w:sz w:val="24"/>
          <w:highlight w:val="none"/>
          <w:lang w:val="en-US" w:eastAsia="zh-CN"/>
        </w:rPr>
        <w:t>磋商，请删去本提示内容）</w:t>
      </w:r>
    </w:p>
    <w:p>
      <w:pPr>
        <w:rPr>
          <w:rFonts w:asciiTheme="minorEastAsia" w:hAnsiTheme="minorEastAsia" w:eastAsiaTheme="minorEastAsia"/>
          <w:color w:val="auto"/>
          <w:sz w:val="24"/>
          <w:szCs w:val="24"/>
          <w:highlight w:val="none"/>
        </w:rPr>
      </w:pP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本公司（联合体）郑重声明，根据《政府采购促进中小企业发展管理办法》（财库﹝2020﹞46号）的规定，本公司（联合体）参加</w:t>
      </w:r>
      <w:r>
        <w:rPr>
          <w:rFonts w:hint="eastAsia" w:ascii="宋体" w:hAnsi="宋体" w:eastAsia="宋体"/>
          <w:color w:val="auto"/>
          <w:sz w:val="24"/>
          <w:szCs w:val="24"/>
          <w:highlight w:val="none"/>
          <w:u w:val="single"/>
          <w:lang w:val="zh-CN"/>
        </w:rPr>
        <w:t>（单位</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的</w:t>
      </w:r>
      <w:r>
        <w:rPr>
          <w:rFonts w:hint="eastAsia" w:ascii="宋体" w:hAnsi="宋体" w:eastAsia="宋体"/>
          <w:color w:val="auto"/>
          <w:sz w:val="24"/>
          <w:szCs w:val="24"/>
          <w:highlight w:val="none"/>
          <w:u w:val="single"/>
          <w:lang w:val="zh-CN"/>
        </w:rPr>
        <w:t>（项目</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 xml:space="preserve">采购活动，服务全部由符合政策要求的中小企业承接。相关企业（含联合体中的中小企业、签订分包意向协议的中小企业）的具体情况如下：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1.</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行业；承接企业为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2.</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行业；承接企业为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 xml:space="preserve">本企业对上述声明内容的真实性负责。如有虚假，将依法承担相应责任。 </w:t>
      </w: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bookmarkEnd w:id="275"/>
    <w:p>
      <w:pPr>
        <w:tabs>
          <w:tab w:val="left" w:pos="4620"/>
        </w:tabs>
        <w:spacing w:line="360" w:lineRule="auto"/>
        <w:jc w:val="left"/>
        <w:rPr>
          <w:rFonts w:hint="eastAsia" w:asciiTheme="minorEastAsia" w:hAnsiTheme="minorEastAsia" w:eastAsiaTheme="minorEastAsia"/>
          <w:b/>
          <w:color w:val="auto"/>
          <w:szCs w:val="24"/>
          <w:highlight w:val="none"/>
          <w:lang w:eastAsia="zh-CN"/>
        </w:rPr>
      </w:pPr>
      <w:r>
        <w:rPr>
          <w:rFonts w:hint="eastAsia" w:asciiTheme="minorEastAsia" w:hAnsiTheme="minorEastAsia" w:eastAsiaTheme="minorEastAsia"/>
          <w:b/>
          <w:color w:val="auto"/>
          <w:szCs w:val="24"/>
          <w:highlight w:val="none"/>
          <w:lang w:eastAsia="zh-CN"/>
        </w:rPr>
        <w:t>注：</w:t>
      </w:r>
    </w:p>
    <w:p>
      <w:pPr>
        <w:tabs>
          <w:tab w:val="left" w:pos="4620"/>
        </w:tabs>
        <w:spacing w:line="360" w:lineRule="auto"/>
        <w:jc w:val="left"/>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1.从业人员、营业收入、资产总额填报上一年数据，无上一年数据的新成立企业可不填报。</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2.供应商应根据《政府采购促进中小企业发展管理办法》（财库﹝2020﹞46号）和《关于印发中小企业划型标准规定的通知》(工信部联企业〔2011〕300号)相关规定，如实填写中小企业声明函。</w:t>
      </w:r>
      <w:r>
        <w:rPr>
          <w:rFonts w:hint="eastAsia" w:ascii="宋体" w:hAnsi="宋体" w:eastAsia="宋体" w:cs="宋体"/>
          <w:b/>
          <w:bCs/>
          <w:color w:val="auto"/>
          <w:szCs w:val="21"/>
          <w:highlight w:val="none"/>
          <w:lang w:val="zh-CN"/>
        </w:rPr>
        <w:t>如有虚假，将依法承担相应责任。</w:t>
      </w:r>
      <w:r>
        <w:rPr>
          <w:rFonts w:hint="eastAsia" w:ascii="宋体" w:hAnsi="宋体" w:eastAsia="宋体" w:cs="宋体"/>
          <w:b/>
          <w:bCs/>
          <w:color w:val="auto"/>
          <w:szCs w:val="21"/>
          <w:highlight w:val="none"/>
        </w:rPr>
        <w:t>供应商自行登录工业和信息化部官网进行中小企业规模类型自测（查询网址https://www.miit.gov.cn/）。</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3.上述“</w:t>
      </w:r>
      <w:r>
        <w:rPr>
          <w:rFonts w:hint="eastAsia" w:ascii="宋体" w:hAnsi="宋体" w:eastAsia="宋体" w:cs="宋体"/>
          <w:b/>
          <w:bCs/>
          <w:color w:val="auto"/>
          <w:szCs w:val="21"/>
          <w:highlight w:val="none"/>
          <w:u w:val="single"/>
          <w:lang w:val="zh-CN"/>
        </w:rPr>
        <w:t>标的名称</w:t>
      </w:r>
      <w:r>
        <w:rPr>
          <w:rFonts w:hint="eastAsia" w:ascii="宋体" w:hAnsi="宋体" w:eastAsia="宋体" w:cs="宋体"/>
          <w:b/>
          <w:bCs/>
          <w:color w:val="auto"/>
          <w:szCs w:val="21"/>
          <w:highlight w:val="none"/>
        </w:rPr>
        <w:t>”，详见第三章采购需求前附表中明确的“标的名称”。</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4.上述“</w:t>
      </w:r>
      <w:r>
        <w:rPr>
          <w:rFonts w:hint="eastAsia" w:ascii="宋体" w:hAnsi="宋体" w:eastAsia="宋体" w:cs="宋体"/>
          <w:b/>
          <w:bCs/>
          <w:color w:val="auto"/>
          <w:szCs w:val="21"/>
          <w:highlight w:val="none"/>
          <w:u w:val="single"/>
        </w:rPr>
        <w:t>采购文件中明确的所属行业</w:t>
      </w:r>
      <w:r>
        <w:rPr>
          <w:rFonts w:hint="eastAsia" w:ascii="宋体" w:hAnsi="宋体" w:eastAsia="宋体" w:cs="宋体"/>
          <w:b/>
          <w:bCs/>
          <w:color w:val="auto"/>
          <w:szCs w:val="21"/>
          <w:highlight w:val="none"/>
        </w:rPr>
        <w:t>”，详见第三章采购需求前附表中明确的“所属行业”。</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5．填写示例：</w:t>
      </w:r>
      <w:r>
        <w:rPr>
          <w:rFonts w:hint="eastAsia" w:ascii="宋体" w:hAnsi="宋体" w:eastAsia="宋体" w:cs="宋体"/>
          <w:b/>
          <w:bCs/>
          <w:color w:val="auto"/>
          <w:szCs w:val="21"/>
          <w:highlight w:val="none"/>
          <w:u w:val="single"/>
        </w:rPr>
        <w:t>某标的名称</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u w:val="single"/>
        </w:rPr>
        <w:t>填写第三章采购需求前附表中明确的“标的名称”</w:t>
      </w:r>
      <w:r>
        <w:rPr>
          <w:rFonts w:hint="eastAsia" w:ascii="宋体" w:hAnsi="宋体" w:eastAsia="宋体" w:cs="宋体"/>
          <w:b/>
          <w:bCs/>
          <w:color w:val="auto"/>
          <w:szCs w:val="21"/>
          <w:highlight w:val="none"/>
        </w:rPr>
        <w:t>），属于</w:t>
      </w:r>
      <w:r>
        <w:rPr>
          <w:rFonts w:hint="eastAsia" w:ascii="宋体" w:hAnsi="宋体" w:eastAsia="宋体" w:cs="宋体"/>
          <w:b/>
          <w:bCs/>
          <w:color w:val="auto"/>
          <w:szCs w:val="21"/>
          <w:highlight w:val="none"/>
          <w:u w:val="single"/>
        </w:rPr>
        <w:t>（填写第三章采购需求前附表中明确的“所属行业”，如软件和信息技术服务业）</w:t>
      </w:r>
      <w:r>
        <w:rPr>
          <w:rFonts w:hint="eastAsia" w:ascii="宋体" w:hAnsi="宋体" w:eastAsia="宋体" w:cs="宋体"/>
          <w:b/>
          <w:bCs/>
          <w:color w:val="auto"/>
          <w:szCs w:val="21"/>
          <w:highlight w:val="none"/>
        </w:rPr>
        <w:t>行业；承接企业为</w:t>
      </w:r>
      <w:r>
        <w:rPr>
          <w:rFonts w:hint="eastAsia" w:ascii="宋体" w:hAnsi="宋体" w:eastAsia="宋体" w:cs="宋体"/>
          <w:b/>
          <w:bCs/>
          <w:color w:val="auto"/>
          <w:szCs w:val="21"/>
          <w:highlight w:val="none"/>
          <w:u w:val="single"/>
          <w:lang w:val="zh-CN"/>
        </w:rPr>
        <w:t>某</w:t>
      </w:r>
      <w:r>
        <w:rPr>
          <w:rFonts w:hint="eastAsia" w:ascii="宋体" w:hAnsi="宋体" w:eastAsia="宋体" w:cs="宋体"/>
          <w:b/>
          <w:bCs/>
          <w:color w:val="auto"/>
          <w:szCs w:val="21"/>
          <w:highlight w:val="none"/>
          <w:u w:val="single"/>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从业人员</w:t>
      </w:r>
      <w:r>
        <w:rPr>
          <w:rFonts w:hint="eastAsia" w:ascii="宋体" w:hAnsi="宋体" w:eastAsia="宋体" w:cs="宋体"/>
          <w:b/>
          <w:bCs/>
          <w:color w:val="auto"/>
          <w:szCs w:val="21"/>
          <w:highlight w:val="none"/>
          <w:u w:val="single"/>
        </w:rPr>
        <w:t>100</w:t>
      </w:r>
      <w:r>
        <w:rPr>
          <w:rFonts w:hint="eastAsia" w:ascii="宋体" w:hAnsi="宋体" w:eastAsia="宋体" w:cs="宋体"/>
          <w:b/>
          <w:bCs/>
          <w:color w:val="auto"/>
          <w:szCs w:val="21"/>
          <w:highlight w:val="none"/>
          <w:lang w:val="zh-CN"/>
        </w:rPr>
        <w:t>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营业收入为</w:t>
      </w:r>
      <w:r>
        <w:rPr>
          <w:rFonts w:hint="eastAsia" w:ascii="宋体" w:hAnsi="宋体" w:eastAsia="宋体" w:cs="宋体"/>
          <w:b/>
          <w:bCs/>
          <w:color w:val="auto"/>
          <w:szCs w:val="21"/>
          <w:highlight w:val="none"/>
          <w:u w:val="single"/>
        </w:rPr>
        <w:t>10000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资产总额为</w:t>
      </w:r>
      <w:r>
        <w:rPr>
          <w:rFonts w:hint="eastAsia" w:ascii="宋体" w:hAnsi="宋体" w:eastAsia="宋体" w:cs="宋体"/>
          <w:b/>
          <w:bCs/>
          <w:color w:val="auto"/>
          <w:szCs w:val="21"/>
          <w:highlight w:val="none"/>
          <w:u w:val="single"/>
        </w:rPr>
        <w:t>5000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rPr>
        <w:t>中</w:t>
      </w:r>
      <w:r>
        <w:rPr>
          <w:rFonts w:hint="eastAsia" w:ascii="宋体" w:hAnsi="宋体" w:eastAsia="宋体" w:cs="宋体"/>
          <w:b/>
          <w:bCs/>
          <w:color w:val="auto"/>
          <w:szCs w:val="21"/>
          <w:highlight w:val="none"/>
          <w:u w:val="single"/>
          <w:lang w:val="zh-CN"/>
        </w:rPr>
        <w:t>型</w:t>
      </w:r>
      <w:r>
        <w:rPr>
          <w:rFonts w:hint="eastAsia" w:ascii="宋体" w:hAnsi="宋体" w:eastAsia="宋体" w:cs="宋体"/>
          <w:b/>
          <w:bCs/>
          <w:color w:val="auto"/>
          <w:szCs w:val="21"/>
          <w:highlight w:val="none"/>
          <w:lang w:val="zh-CN"/>
        </w:rPr>
        <w:t>企业</w:t>
      </w:r>
      <w:r>
        <w:rPr>
          <w:rFonts w:hint="eastAsia" w:ascii="宋体" w:hAnsi="宋体" w:eastAsia="宋体" w:cs="宋体"/>
          <w:b/>
          <w:bCs/>
          <w:color w:val="auto"/>
          <w:szCs w:val="21"/>
          <w:highlight w:val="none"/>
        </w:rPr>
        <w:t>[供应商自行登录工业和信息化部官网进行中小企业规模类型自测（查询网址https://www.miit.gov.cn/）]</w:t>
      </w:r>
      <w:r>
        <w:rPr>
          <w:rFonts w:hint="eastAsia" w:ascii="宋体" w:hAnsi="宋体" w:eastAsia="宋体" w:cs="宋体"/>
          <w:b/>
          <w:bCs/>
          <w:color w:val="auto"/>
          <w:szCs w:val="21"/>
          <w:highlight w:val="none"/>
          <w:lang w:val="zh-CN"/>
        </w:rPr>
        <w:t>。</w:t>
      </w:r>
    </w:p>
    <w:p>
      <w:pPr>
        <w:tabs>
          <w:tab w:val="left" w:pos="4620"/>
        </w:tabs>
        <w:spacing w:line="360" w:lineRule="auto"/>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76" w:name="_Toc5908"/>
      <w:bookmarkStart w:id="277" w:name="_Toc17713"/>
      <w:bookmarkStart w:id="278" w:name="_Hlk60608725"/>
      <w:r>
        <w:rPr>
          <w:rFonts w:hint="eastAsia" w:asciiTheme="minorEastAsia" w:hAnsiTheme="minorEastAsia" w:eastAsiaTheme="minorEastAsia"/>
          <w:b/>
          <w:color w:val="auto"/>
          <w:sz w:val="24"/>
          <w:highlight w:val="none"/>
        </w:rPr>
        <w:t>十、残疾人福利性单位声明函</w:t>
      </w:r>
      <w:bookmarkEnd w:id="276"/>
      <w:bookmarkEnd w:id="277"/>
    </w:p>
    <w:p>
      <w:pPr>
        <w:pStyle w:val="8"/>
        <w:keepNext w:val="0"/>
        <w:keepLines w:val="0"/>
        <w:pageBreakBefore w:val="0"/>
        <w:widowControl w:val="0"/>
        <w:kinsoku/>
        <w:wordWrap/>
        <w:overflowPunct/>
        <w:topLinePunct w:val="0"/>
        <w:autoSpaceDE/>
        <w:autoSpaceDN/>
        <w:bidi w:val="0"/>
        <w:adjustRightInd/>
        <w:snapToGrid/>
        <w:jc w:val="center"/>
        <w:textAlignment w:val="auto"/>
        <w:rPr>
          <w:rFonts w:asciiTheme="minorEastAsia" w:hAnsiTheme="minorEastAsia" w:eastAsiaTheme="minorEastAsia"/>
          <w:color w:val="auto"/>
          <w:spacing w:val="6"/>
          <w:sz w:val="24"/>
          <w:szCs w:val="24"/>
          <w:highlight w:val="none"/>
        </w:rPr>
      </w:pPr>
      <w:r>
        <w:rPr>
          <w:rFonts w:hint="eastAsia" w:ascii="宋体" w:hAnsi="宋体" w:eastAsia="宋体"/>
          <w:b w:val="0"/>
          <w:i/>
          <w:color w:val="FF0000"/>
          <w:sz w:val="24"/>
          <w:highlight w:val="none"/>
          <w:lang w:val="en-US" w:eastAsia="zh-CN"/>
        </w:rPr>
        <w:t>（请完整填写声明函内容，否则不予认可；非残疾人福利性单位磋商，请删去“残疾人福利性单位声明函”；残疾人福利性单位磋商，请删去本提示内容）</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w:t>
      </w:r>
      <w:r>
        <w:rPr>
          <w:rFonts w:hint="eastAsia" w:asciiTheme="minorEastAsia" w:hAnsiTheme="minorEastAsia" w:eastAsiaTheme="minorEastAsia"/>
          <w:color w:val="auto"/>
          <w:sz w:val="24"/>
          <w:highlight w:val="none"/>
        </w:rPr>
        <w:t>郑重</w:t>
      </w:r>
      <w:r>
        <w:rPr>
          <w:rFonts w:hint="eastAsia" w:asciiTheme="minorEastAsia" w:hAnsiTheme="minorEastAsia" w:eastAsiaTheme="minorEastAsia"/>
          <w:color w:val="auto"/>
          <w:spacing w:val="6"/>
          <w:sz w:val="24"/>
          <w:szCs w:val="24"/>
          <w:highlight w:val="none"/>
        </w:rPr>
        <w:t>声明，根据《财政部 民政部 中国残疾人联合会关于促进残疾人就业政府采购政策的通知》（财库</w:t>
      </w:r>
      <w:r>
        <w:rPr>
          <w:rFonts w:hint="eastAsia" w:asciiTheme="minorEastAsia" w:hAnsiTheme="minorEastAsia" w:eastAsiaTheme="minorEastAsia"/>
          <w:color w:val="auto"/>
          <w:sz w:val="24"/>
          <w:szCs w:val="24"/>
          <w:highlight w:val="none"/>
        </w:rPr>
        <w:t>〔2017〕141</w:t>
      </w:r>
      <w:r>
        <w:rPr>
          <w:rFonts w:hint="eastAsia" w:asciiTheme="minorEastAsia" w:hAnsiTheme="minorEastAsia" w:eastAsiaTheme="minorEastAsia"/>
          <w:color w:val="auto"/>
          <w:spacing w:val="6"/>
          <w:sz w:val="24"/>
          <w:szCs w:val="24"/>
          <w:highlight w:val="none"/>
        </w:rPr>
        <w:t>号）的规定，本单位为</w:t>
      </w:r>
      <w:r>
        <w:rPr>
          <w:rFonts w:hint="eastAsia" w:asciiTheme="minorEastAsia" w:hAnsiTheme="minorEastAsia" w:eastAsiaTheme="minorEastAsia"/>
          <w:bCs/>
          <w:color w:val="auto"/>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项目采购活动由本单位提供服务。</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本单位对上述声明的真实性负责。如有虚假，将依法承担相应责任。</w:t>
      </w: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bookmarkEnd w:id="278"/>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79" w:name="_Toc2278"/>
      <w:bookmarkStart w:id="280" w:name="_Toc20592"/>
      <w:bookmarkStart w:id="281" w:name="_Hlk44283088"/>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一</w:t>
      </w:r>
      <w:r>
        <w:rPr>
          <w:rFonts w:hint="eastAsia" w:asciiTheme="minorEastAsia" w:hAnsiTheme="minorEastAsia" w:eastAsiaTheme="minorEastAsia"/>
          <w:b/>
          <w:color w:val="auto"/>
          <w:sz w:val="24"/>
          <w:highlight w:val="none"/>
        </w:rPr>
        <w:t>、诚信履约承诺函</w:t>
      </w:r>
      <w:bookmarkEnd w:id="279"/>
      <w:bookmarkEnd w:id="280"/>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val="en-US"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lang w:val="en-US"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供应商电子签章：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bookmarkEnd w:id="281"/>
    <w:p>
      <w:pPr>
        <w:spacing w:line="360" w:lineRule="auto"/>
        <w:jc w:val="center"/>
        <w:outlineLvl w:val="1"/>
        <w:rPr>
          <w:rFonts w:asciiTheme="minorEastAsia" w:hAnsiTheme="minorEastAsia" w:eastAsiaTheme="minorEastAsia"/>
          <w:b/>
          <w:color w:val="auto"/>
          <w:sz w:val="24"/>
          <w:highlight w:val="none"/>
        </w:rPr>
      </w:pPr>
      <w:bookmarkStart w:id="282" w:name="_Toc3826"/>
      <w:bookmarkStart w:id="283" w:name="_Toc7807"/>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二</w:t>
      </w:r>
      <w:r>
        <w:rPr>
          <w:rFonts w:hint="eastAsia" w:asciiTheme="minorEastAsia" w:hAnsiTheme="minorEastAsia" w:eastAsiaTheme="minorEastAsia"/>
          <w:b/>
          <w:color w:val="auto"/>
          <w:sz w:val="24"/>
          <w:highlight w:val="none"/>
        </w:rPr>
        <w:t>、其他相关证明材料</w:t>
      </w:r>
      <w:bookmarkEnd w:id="282"/>
      <w:bookmarkEnd w:id="283"/>
    </w:p>
    <w:p>
      <w:pPr>
        <w:tabs>
          <w:tab w:val="left" w:pos="4620"/>
        </w:tabs>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提供符合磋商邀请、采购需求及评审方法和标准规定的相关证明文件。</w:t>
      </w:r>
    </w:p>
    <w:p>
      <w:pPr>
        <w:spacing w:line="360" w:lineRule="auto"/>
        <w:ind w:firstLine="435"/>
        <w:rPr>
          <w:rFonts w:asciiTheme="minorEastAsia" w:hAnsiTheme="minorEastAsia" w:eastAsiaTheme="minorEastAsia"/>
          <w:color w:val="auto"/>
          <w:sz w:val="24"/>
          <w:highlight w:val="none"/>
        </w:rPr>
      </w:pP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rPr>
        <w:t>供应商在响应文件制作时可在此栏内上传磋商文件要求上传的证明资料，如营业执照</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证书等，应将上述证明材料制作成扫描件上传。</w:t>
      </w:r>
    </w:p>
    <w:p>
      <w:pPr>
        <w:spacing w:line="360" w:lineRule="auto"/>
        <w:jc w:val="center"/>
        <w:rPr>
          <w:rFonts w:asciiTheme="minorEastAsia" w:hAnsiTheme="minorEastAsia" w:eastAsiaTheme="minorEastAsia"/>
          <w:b/>
          <w:color w:val="auto"/>
          <w:sz w:val="24"/>
          <w:highlight w:val="none"/>
        </w:rPr>
      </w:pPr>
    </w:p>
    <w:p>
      <w:pPr>
        <w:widowControl/>
        <w:jc w:val="left"/>
        <w:rPr>
          <w:rFonts w:ascii="宋体" w:hAnsi="宋体" w:eastAsia="宋体"/>
          <w:bCs/>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宋体" w:hAnsi="宋体" w:eastAsia="宋体"/>
          <w:b/>
          <w:bCs/>
          <w:color w:val="auto"/>
          <w:sz w:val="28"/>
          <w:highlight w:val="none"/>
        </w:rPr>
      </w:pPr>
      <w:bookmarkStart w:id="284" w:name="_Toc63440924"/>
      <w:bookmarkStart w:id="285" w:name="_Toc19418"/>
      <w:r>
        <w:rPr>
          <w:rFonts w:hint="eastAsia" w:ascii="宋体" w:hAnsi="宋体" w:eastAsia="宋体"/>
          <w:b/>
          <w:bCs/>
          <w:color w:val="auto"/>
          <w:sz w:val="28"/>
          <w:highlight w:val="none"/>
        </w:rPr>
        <w:t>第</w:t>
      </w:r>
      <w:r>
        <w:rPr>
          <w:rFonts w:hint="eastAsia" w:ascii="宋体" w:hAnsi="宋体" w:eastAsia="宋体"/>
          <w:b/>
          <w:bCs/>
          <w:color w:val="auto"/>
          <w:sz w:val="28"/>
          <w:highlight w:val="none"/>
          <w:lang w:val="en-US" w:eastAsia="zh-CN"/>
        </w:rPr>
        <w:t>七</w:t>
      </w:r>
      <w:r>
        <w:rPr>
          <w:rFonts w:hint="eastAsia" w:ascii="宋体" w:hAnsi="宋体" w:eastAsia="宋体"/>
          <w:b/>
          <w:bCs/>
          <w:color w:val="auto"/>
          <w:sz w:val="28"/>
          <w:highlight w:val="none"/>
        </w:rPr>
        <w:t>章  政府采购</w:t>
      </w:r>
      <w:bookmarkEnd w:id="284"/>
      <w:r>
        <w:rPr>
          <w:rFonts w:hint="eastAsia" w:asciiTheme="minorEastAsia" w:hAnsiTheme="minorEastAsia" w:eastAsiaTheme="minorEastAsia"/>
          <w:b/>
          <w:color w:val="auto"/>
          <w:sz w:val="28"/>
          <w:highlight w:val="none"/>
        </w:rPr>
        <w:t>供应</w:t>
      </w:r>
      <w:r>
        <w:rPr>
          <w:rFonts w:hint="eastAsia" w:ascii="宋体" w:hAnsi="宋体" w:eastAsia="宋体"/>
          <w:b/>
          <w:bCs/>
          <w:color w:val="auto"/>
          <w:sz w:val="28"/>
          <w:highlight w:val="none"/>
        </w:rPr>
        <w:t>商询问函和质疑函范本</w:t>
      </w:r>
      <w:bookmarkEnd w:id="285"/>
    </w:p>
    <w:p>
      <w:pPr>
        <w:spacing w:line="360" w:lineRule="auto"/>
        <w:jc w:val="center"/>
        <w:outlineLvl w:val="1"/>
        <w:rPr>
          <w:rFonts w:ascii="仿宋" w:hAnsi="仿宋" w:eastAsia="仿宋" w:cs="仿宋"/>
          <w:b/>
          <w:bCs/>
          <w:color w:val="auto"/>
          <w:sz w:val="32"/>
          <w:szCs w:val="44"/>
          <w:highlight w:val="none"/>
        </w:rPr>
      </w:pPr>
      <w:bookmarkStart w:id="286" w:name="_Toc8735"/>
      <w:bookmarkStart w:id="287" w:name="_Toc2142"/>
      <w:r>
        <w:rPr>
          <w:rFonts w:hint="eastAsia" w:ascii="仿宋" w:hAnsi="仿宋" w:eastAsia="仿宋" w:cs="仿宋"/>
          <w:b/>
          <w:bCs/>
          <w:color w:val="auto"/>
          <w:sz w:val="32"/>
          <w:szCs w:val="44"/>
          <w:highlight w:val="none"/>
        </w:rPr>
        <w:t>询问函范本</w:t>
      </w:r>
      <w:bookmarkEnd w:id="286"/>
      <w:bookmarkEnd w:id="287"/>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b/>
          <w:bCs/>
          <w:color w:val="auto"/>
          <w:sz w:val="24"/>
          <w:szCs w:val="24"/>
          <w:highlight w:val="none"/>
          <w:lang w:eastAsia="zh-CN"/>
        </w:rPr>
      </w:pPr>
      <w:r>
        <w:rPr>
          <w:rFonts w:hint="eastAsia" w:cs="仿宋" w:asciiTheme="minorEastAsia" w:hAnsiTheme="minorEastAsia" w:eastAsiaTheme="minorEastAsia"/>
          <w:b/>
          <w:bCs/>
          <w:color w:val="auto"/>
          <w:sz w:val="24"/>
          <w:szCs w:val="24"/>
          <w:highlight w:val="none"/>
          <w:lang w:val="en-US" w:eastAsia="zh-CN"/>
        </w:rPr>
        <w:t>致：</w:t>
      </w:r>
      <w:r>
        <w:rPr>
          <w:rFonts w:hint="eastAsia" w:cs="仿宋" w:asciiTheme="minorEastAsia" w:hAnsiTheme="minorEastAsia" w:eastAsiaTheme="minorEastAsia"/>
          <w:b/>
          <w:bCs/>
          <w:color w:val="auto"/>
          <w:sz w:val="24"/>
          <w:szCs w:val="24"/>
          <w:highlight w:val="none"/>
          <w:u w:val="none"/>
          <w:lang w:val="en-US"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i/>
          <w:iCs/>
          <w:color w:val="auto"/>
          <w:sz w:val="24"/>
          <w:szCs w:val="24"/>
          <w:u w:val="none"/>
          <w:lang w:val="en-US" w:eastAsia="zh-CN"/>
        </w:rPr>
        <w:t>（</w:t>
      </w:r>
      <w:r>
        <w:rPr>
          <w:rFonts w:hint="eastAsia" w:cs="仿宋" w:asciiTheme="minorEastAsia" w:hAnsiTheme="minorEastAsia" w:eastAsiaTheme="minorEastAsia"/>
          <w:i/>
          <w:iCs/>
          <w:color w:val="auto"/>
          <w:sz w:val="24"/>
          <w:szCs w:val="24"/>
          <w:u w:val="none"/>
        </w:rPr>
        <w:t>项目</w:t>
      </w:r>
      <w:r>
        <w:rPr>
          <w:rFonts w:hint="eastAsia" w:cs="仿宋" w:asciiTheme="minorEastAsia" w:hAnsiTheme="minorEastAsia" w:eastAsiaTheme="minorEastAsia"/>
          <w:i/>
          <w:iCs/>
          <w:color w:val="auto"/>
          <w:sz w:val="24"/>
          <w:szCs w:val="24"/>
          <w:u w:val="none"/>
          <w:lang w:val="en-US" w:eastAsia="zh-CN"/>
        </w:rPr>
        <w:t>名称、</w:t>
      </w:r>
      <w:r>
        <w:rPr>
          <w:rFonts w:hint="eastAsia" w:cs="仿宋" w:asciiTheme="minorEastAsia" w:hAnsiTheme="minorEastAsia" w:eastAsiaTheme="minorEastAsia"/>
          <w:i/>
          <w:iCs/>
          <w:color w:val="auto"/>
          <w:sz w:val="24"/>
          <w:szCs w:val="24"/>
          <w:u w:val="none"/>
        </w:rPr>
        <w:t>编号)</w:t>
      </w:r>
      <w:r>
        <w:rPr>
          <w:rFonts w:hint="eastAsia" w:cs="仿宋" w:asciiTheme="minorEastAsia" w:hAnsiTheme="minorEastAsia" w:eastAsiaTheme="minorEastAsia"/>
          <w:color w:val="auto"/>
          <w:sz w:val="24"/>
          <w:szCs w:val="24"/>
        </w:rPr>
        <w:t>的采购活动，现有以下内容(或条款)存在疑问(或无法理解)，</w:t>
      </w:r>
      <w:r>
        <w:rPr>
          <w:rFonts w:hint="eastAsia" w:cs="仿宋" w:asciiTheme="minorEastAsia" w:hAnsiTheme="minorEastAsia" w:eastAsiaTheme="minorEastAsia"/>
          <w:color w:val="auto"/>
          <w:sz w:val="24"/>
          <w:szCs w:val="24"/>
          <w:highlight w:val="none"/>
        </w:rPr>
        <w:t>特提出询问。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288" w:name="_Toc26386"/>
      <w:bookmarkStart w:id="289" w:name="_Toc9092"/>
      <w:r>
        <w:rPr>
          <w:rFonts w:hint="eastAsia" w:cs="仿宋" w:asciiTheme="minorEastAsia" w:hAnsiTheme="minorEastAsia" w:eastAsiaTheme="minorEastAsia"/>
          <w:color w:val="auto"/>
          <w:sz w:val="24"/>
          <w:szCs w:val="24"/>
          <w:highlight w:val="none"/>
        </w:rPr>
        <w:t>一、(事项一)</w:t>
      </w:r>
      <w:bookmarkEnd w:id="288"/>
      <w:bookmarkEnd w:id="289"/>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290" w:name="_Toc9273"/>
      <w:bookmarkStart w:id="291" w:name="_Toc17582"/>
      <w:r>
        <w:rPr>
          <w:rFonts w:hint="eastAsia" w:cs="仿宋" w:asciiTheme="minorEastAsia" w:hAnsiTheme="minorEastAsia" w:eastAsiaTheme="minorEastAsia"/>
          <w:color w:val="auto"/>
          <w:sz w:val="24"/>
          <w:szCs w:val="24"/>
          <w:highlight w:val="none"/>
        </w:rPr>
        <w:t>二、(事项二)</w:t>
      </w:r>
      <w:bookmarkEnd w:id="290"/>
      <w:bookmarkEnd w:id="291"/>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Theme="minorEastAsia" w:hAnsiTheme="minorEastAsia" w:eastAsiaTheme="minorEastAsia"/>
          <w:b/>
          <w:color w:val="auto"/>
          <w:sz w:val="52"/>
          <w:highlight w:val="none"/>
        </w:rPr>
      </w:pPr>
      <w:r>
        <w:rPr>
          <w:rFonts w:hint="eastAsia" w:ascii="仿宋" w:hAnsi="仿宋" w:eastAsia="仿宋" w:cs="仿宋"/>
          <w:b/>
          <w:bCs/>
          <w:color w:val="auto"/>
          <w:sz w:val="32"/>
          <w:szCs w:val="44"/>
          <w:highlight w:val="none"/>
        </w:rPr>
        <w:br w:type="page"/>
      </w:r>
    </w:p>
    <w:p>
      <w:pPr>
        <w:jc w:val="center"/>
        <w:outlineLvl w:val="1"/>
        <w:rPr>
          <w:rFonts w:ascii="仿宋" w:hAnsi="仿宋" w:eastAsia="仿宋" w:cs="仿宋"/>
          <w:b/>
          <w:bCs/>
          <w:color w:val="auto"/>
          <w:sz w:val="32"/>
          <w:szCs w:val="44"/>
          <w:highlight w:val="none"/>
        </w:rPr>
      </w:pPr>
      <w:bookmarkStart w:id="292" w:name="_Toc26673"/>
      <w:bookmarkStart w:id="293" w:name="_Toc6990"/>
      <w:r>
        <w:rPr>
          <w:rFonts w:hint="eastAsia" w:ascii="仿宋" w:hAnsi="仿宋" w:eastAsia="仿宋" w:cs="仿宋"/>
          <w:b/>
          <w:bCs/>
          <w:color w:val="auto"/>
          <w:sz w:val="32"/>
          <w:szCs w:val="44"/>
          <w:highlight w:val="none"/>
        </w:rPr>
        <w:t>质疑函范本</w:t>
      </w:r>
      <w:bookmarkEnd w:id="292"/>
      <w:bookmarkEnd w:id="293"/>
    </w:p>
    <w:p>
      <w:pPr>
        <w:adjustRightInd w:val="0"/>
        <w:snapToGrid w:val="0"/>
        <w:spacing w:before="312" w:beforeLines="100" w:line="360" w:lineRule="auto"/>
        <w:outlineLvl w:val="1"/>
        <w:rPr>
          <w:rFonts w:cs="仿宋" w:asciiTheme="minorEastAsia" w:hAnsiTheme="minorEastAsia" w:eastAsiaTheme="minorEastAsia"/>
          <w:b/>
          <w:bCs/>
          <w:color w:val="auto"/>
          <w:sz w:val="24"/>
          <w:szCs w:val="24"/>
          <w:highlight w:val="none"/>
        </w:rPr>
      </w:pPr>
      <w:bookmarkStart w:id="294" w:name="_Toc2994"/>
      <w:bookmarkStart w:id="295" w:name="_Toc29510"/>
      <w:r>
        <w:rPr>
          <w:rFonts w:hint="eastAsia" w:cs="仿宋" w:asciiTheme="minorEastAsia" w:hAnsiTheme="minorEastAsia" w:eastAsiaTheme="minorEastAsia"/>
          <w:b/>
          <w:bCs/>
          <w:color w:val="auto"/>
          <w:sz w:val="24"/>
          <w:szCs w:val="24"/>
          <w:highlight w:val="none"/>
        </w:rPr>
        <w:t>一、质疑供应商基本信息</w:t>
      </w:r>
      <w:bookmarkEnd w:id="294"/>
      <w:bookmarkEnd w:id="295"/>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296" w:name="_Toc28130"/>
      <w:bookmarkStart w:id="297" w:name="_Toc31042"/>
      <w:r>
        <w:rPr>
          <w:rFonts w:hint="eastAsia" w:cs="仿宋" w:asciiTheme="minorEastAsia" w:hAnsiTheme="minorEastAsia" w:eastAsiaTheme="minorEastAsia"/>
          <w:b/>
          <w:bCs/>
          <w:color w:val="auto"/>
          <w:sz w:val="24"/>
          <w:szCs w:val="24"/>
          <w:highlight w:val="none"/>
        </w:rPr>
        <w:t>二、质疑项目基本情况</w:t>
      </w:r>
      <w:bookmarkEnd w:id="296"/>
      <w:bookmarkEnd w:id="297"/>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298" w:name="_Toc20587"/>
      <w:bookmarkStart w:id="299" w:name="_Toc6486"/>
      <w:r>
        <w:rPr>
          <w:rFonts w:hint="eastAsia" w:cs="仿宋" w:asciiTheme="minorEastAsia" w:hAnsiTheme="minorEastAsia" w:eastAsiaTheme="minorEastAsia"/>
          <w:b/>
          <w:bCs/>
          <w:color w:val="auto"/>
          <w:sz w:val="24"/>
          <w:szCs w:val="24"/>
          <w:highlight w:val="none"/>
        </w:rPr>
        <w:t>三、质疑事项具体内容</w:t>
      </w:r>
      <w:bookmarkEnd w:id="298"/>
      <w:bookmarkEnd w:id="299"/>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300" w:name="_Toc32755"/>
      <w:bookmarkStart w:id="301" w:name="_Toc20470"/>
      <w:r>
        <w:rPr>
          <w:rFonts w:hint="eastAsia" w:cs="仿宋" w:asciiTheme="minorEastAsia" w:hAnsiTheme="minorEastAsia" w:eastAsiaTheme="minorEastAsia"/>
          <w:b/>
          <w:bCs/>
          <w:color w:val="auto"/>
          <w:sz w:val="24"/>
          <w:szCs w:val="24"/>
          <w:highlight w:val="none"/>
        </w:rPr>
        <w:t>四、与质疑事项相关的质疑请求</w:t>
      </w:r>
      <w:bookmarkEnd w:id="300"/>
      <w:bookmarkEnd w:id="301"/>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302" w:name="_Toc21667"/>
      <w:bookmarkStart w:id="303" w:name="_Toc8368"/>
      <w:r>
        <w:rPr>
          <w:rFonts w:hint="eastAsia" w:asciiTheme="minorEastAsia" w:hAnsiTheme="minorEastAsia" w:eastAsiaTheme="minorEastAsia"/>
          <w:b/>
          <w:color w:val="auto"/>
          <w:sz w:val="28"/>
          <w:szCs w:val="32"/>
          <w:highlight w:val="none"/>
        </w:rPr>
        <w:t>质疑函制作说明：</w:t>
      </w:r>
      <w:bookmarkEnd w:id="302"/>
      <w:bookmarkEnd w:id="303"/>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headerReference r:id="rId7" w:type="default"/>
      <w:footerReference r:id="rId8"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altName w:val="PMingLiU-ExtB"/>
    <w:panose1 w:val="02020509000000000000"/>
    <w:charset w:val="88"/>
    <w:family w:val="modern"/>
    <w:pitch w:val="default"/>
    <w:sig w:usb0="00000000" w:usb1="00000000" w:usb2="00000016" w:usb3="00000000" w:csb0="00100001" w:csb1="00000000"/>
  </w:font>
  <w:font w:name="Microsoft YaHei UI">
    <w:panose1 w:val="020B0503020204020204"/>
    <w:charset w:val="86"/>
    <w:family w:val="auto"/>
    <w:pitch w:val="default"/>
    <w:sig w:usb0="80000287" w:usb1="2ACF3C50" w:usb2="00000016" w:usb3="00000000" w:csb0="0004001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Fonts w:asciiTheme="minorEastAsia" w:hAnsiTheme="minorEastAsia" w:eastAsiaTheme="minorEastAsia"/>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posOffset>2157730</wp:posOffset>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41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69.9pt;margin-top:0pt;height:144pt;width:144pt;mso-position-horizontal-relative:margin;mso-wrap-style:none;z-index:251660288;mso-width-relative:page;mso-height-relative:page;" filled="f" stroked="f" coordsize="21600,21600" o:gfxdata="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FcAboDVAAAACAEAAA8AAAAAAAAAAQAgAAAAIgAAAGRycy9kb3ducmV2LnhtbFBL&#10;AQIUABQAAAAIAIdO4kC6jDgrMgIAAGEEAAAOAAAAAAAAAAEAIAAAACQBAABkcnMvZTJvRG9jLnht&#10;bFBLBQYAAAAABgAGAFkBAADIBQAAAAA=&#10;">
              <v:fill on="f" focussize="0,0"/>
              <v:stroke on="f" weight="0.5pt"/>
              <v:imagedata o:title=""/>
              <o:lock v:ext="edit" aspectratio="f"/>
              <v:textbox inset="0mm,0mm,0mm,0mm" style="mso-fit-shape-to-text:t;">
                <w:txbxContent>
                  <w:p>
                    <w:pPr>
                      <w:pStyle w:val="13"/>
                      <w:rPr>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41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left"/>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竞争性磋商文件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服务类</w:t>
    </w:r>
    <w:r>
      <w:rPr>
        <w:rFonts w:hint="eastAsia" w:asciiTheme="minorEastAsia" w:hAnsiTheme="minorEastAsia" w:eastAsiaTheme="minorEastAsia"/>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left"/>
      <w:rPr>
        <w:rFonts w:hint="eastAsia"/>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竞争性磋商文件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服务类</w:t>
    </w:r>
    <w:r>
      <w:rPr>
        <w:rFonts w:hint="eastAsia" w:asciiTheme="minorEastAsia" w:hAnsiTheme="minorEastAsia" w:eastAsiaTheme="minorEastAsia"/>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left"/>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竞争性磋商文件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服务类</w:t>
    </w:r>
    <w:r>
      <w:rPr>
        <w:rFonts w:hint="eastAsia" w:asciiTheme="minorEastAsia" w:hAnsiTheme="minorEastAsia" w:eastAsiaTheme="minorEastAsia"/>
        <w:lang w:eastAsia="zh-CN"/>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yNTNlZjgyNjRjN2RkN2M3NmUxZDA4ZDJjNWUyMWIifQ=="/>
  </w:docVars>
  <w:rsids>
    <w:rsidRoot w:val="00276BA1"/>
    <w:rsid w:val="0000043F"/>
    <w:rsid w:val="000037F9"/>
    <w:rsid w:val="000049DA"/>
    <w:rsid w:val="00005403"/>
    <w:rsid w:val="000056B7"/>
    <w:rsid w:val="00007D87"/>
    <w:rsid w:val="000131F7"/>
    <w:rsid w:val="00014039"/>
    <w:rsid w:val="00016B6C"/>
    <w:rsid w:val="00020B57"/>
    <w:rsid w:val="00020B6D"/>
    <w:rsid w:val="000323E2"/>
    <w:rsid w:val="00040C25"/>
    <w:rsid w:val="00042139"/>
    <w:rsid w:val="00042B14"/>
    <w:rsid w:val="00044F49"/>
    <w:rsid w:val="000450C3"/>
    <w:rsid w:val="00050A3F"/>
    <w:rsid w:val="00052F95"/>
    <w:rsid w:val="00054AA3"/>
    <w:rsid w:val="00056ECB"/>
    <w:rsid w:val="00057B40"/>
    <w:rsid w:val="000648D2"/>
    <w:rsid w:val="00070E0E"/>
    <w:rsid w:val="0007146E"/>
    <w:rsid w:val="00076DB7"/>
    <w:rsid w:val="00080FEB"/>
    <w:rsid w:val="00094D41"/>
    <w:rsid w:val="00097CB9"/>
    <w:rsid w:val="000A0161"/>
    <w:rsid w:val="000A10A9"/>
    <w:rsid w:val="000A6693"/>
    <w:rsid w:val="000A7970"/>
    <w:rsid w:val="000A7D94"/>
    <w:rsid w:val="000B1511"/>
    <w:rsid w:val="000B6249"/>
    <w:rsid w:val="000C1DB1"/>
    <w:rsid w:val="000D19EC"/>
    <w:rsid w:val="000D3F37"/>
    <w:rsid w:val="000E3C74"/>
    <w:rsid w:val="000E3F9B"/>
    <w:rsid w:val="000E478E"/>
    <w:rsid w:val="000E6689"/>
    <w:rsid w:val="000F0EBF"/>
    <w:rsid w:val="000F172B"/>
    <w:rsid w:val="000F2198"/>
    <w:rsid w:val="000F39B6"/>
    <w:rsid w:val="000F3A94"/>
    <w:rsid w:val="000F6B7B"/>
    <w:rsid w:val="000F6F95"/>
    <w:rsid w:val="0010021F"/>
    <w:rsid w:val="00100B0F"/>
    <w:rsid w:val="0010187C"/>
    <w:rsid w:val="0010219C"/>
    <w:rsid w:val="001037E3"/>
    <w:rsid w:val="00107022"/>
    <w:rsid w:val="0011660B"/>
    <w:rsid w:val="0012143A"/>
    <w:rsid w:val="0012203E"/>
    <w:rsid w:val="001258BA"/>
    <w:rsid w:val="00130601"/>
    <w:rsid w:val="00132F4D"/>
    <w:rsid w:val="00133EA0"/>
    <w:rsid w:val="00137249"/>
    <w:rsid w:val="00140687"/>
    <w:rsid w:val="00146421"/>
    <w:rsid w:val="00153B20"/>
    <w:rsid w:val="00155F64"/>
    <w:rsid w:val="00157856"/>
    <w:rsid w:val="00160729"/>
    <w:rsid w:val="0016455F"/>
    <w:rsid w:val="00165398"/>
    <w:rsid w:val="00166794"/>
    <w:rsid w:val="00166ED8"/>
    <w:rsid w:val="001714C9"/>
    <w:rsid w:val="00171515"/>
    <w:rsid w:val="00172B93"/>
    <w:rsid w:val="001768BC"/>
    <w:rsid w:val="0018119B"/>
    <w:rsid w:val="001844AB"/>
    <w:rsid w:val="001853C7"/>
    <w:rsid w:val="00192879"/>
    <w:rsid w:val="001944B8"/>
    <w:rsid w:val="001967D2"/>
    <w:rsid w:val="00196DA3"/>
    <w:rsid w:val="001970C3"/>
    <w:rsid w:val="001971E5"/>
    <w:rsid w:val="001A0C0F"/>
    <w:rsid w:val="001A68E5"/>
    <w:rsid w:val="001B2A54"/>
    <w:rsid w:val="001B2BA4"/>
    <w:rsid w:val="001B5014"/>
    <w:rsid w:val="001B7327"/>
    <w:rsid w:val="001C2A15"/>
    <w:rsid w:val="001D22EA"/>
    <w:rsid w:val="001D53B4"/>
    <w:rsid w:val="001E1835"/>
    <w:rsid w:val="001F28D2"/>
    <w:rsid w:val="001F2F45"/>
    <w:rsid w:val="001F3023"/>
    <w:rsid w:val="001F35F6"/>
    <w:rsid w:val="001F4AAF"/>
    <w:rsid w:val="001F74CA"/>
    <w:rsid w:val="001F7590"/>
    <w:rsid w:val="002003B6"/>
    <w:rsid w:val="0020244A"/>
    <w:rsid w:val="002049B4"/>
    <w:rsid w:val="0020520B"/>
    <w:rsid w:val="002076AD"/>
    <w:rsid w:val="00213C55"/>
    <w:rsid w:val="00223CF4"/>
    <w:rsid w:val="00224B69"/>
    <w:rsid w:val="00224C4A"/>
    <w:rsid w:val="00231187"/>
    <w:rsid w:val="0023407E"/>
    <w:rsid w:val="00240B40"/>
    <w:rsid w:val="00244182"/>
    <w:rsid w:val="002544A1"/>
    <w:rsid w:val="00257ECE"/>
    <w:rsid w:val="00260382"/>
    <w:rsid w:val="00260B94"/>
    <w:rsid w:val="00264F2E"/>
    <w:rsid w:val="00271245"/>
    <w:rsid w:val="00272BD6"/>
    <w:rsid w:val="00273F66"/>
    <w:rsid w:val="00274A9E"/>
    <w:rsid w:val="00276BA1"/>
    <w:rsid w:val="00280984"/>
    <w:rsid w:val="002832CF"/>
    <w:rsid w:val="00283599"/>
    <w:rsid w:val="002835E3"/>
    <w:rsid w:val="00284542"/>
    <w:rsid w:val="002A14D1"/>
    <w:rsid w:val="002A1A1D"/>
    <w:rsid w:val="002A28AD"/>
    <w:rsid w:val="002B04FD"/>
    <w:rsid w:val="002B5318"/>
    <w:rsid w:val="002B6D27"/>
    <w:rsid w:val="002B7A09"/>
    <w:rsid w:val="002C060C"/>
    <w:rsid w:val="002C078A"/>
    <w:rsid w:val="002D05DD"/>
    <w:rsid w:val="002D0E4D"/>
    <w:rsid w:val="002D2965"/>
    <w:rsid w:val="002D3D02"/>
    <w:rsid w:val="002D4CB5"/>
    <w:rsid w:val="002D5900"/>
    <w:rsid w:val="002D684B"/>
    <w:rsid w:val="002E2D3A"/>
    <w:rsid w:val="002E3B26"/>
    <w:rsid w:val="002E4AB8"/>
    <w:rsid w:val="002E7FC4"/>
    <w:rsid w:val="00310070"/>
    <w:rsid w:val="0031081B"/>
    <w:rsid w:val="003110EC"/>
    <w:rsid w:val="00314289"/>
    <w:rsid w:val="003206A6"/>
    <w:rsid w:val="0032560D"/>
    <w:rsid w:val="00327C92"/>
    <w:rsid w:val="00333292"/>
    <w:rsid w:val="003344E7"/>
    <w:rsid w:val="0033580B"/>
    <w:rsid w:val="003365E7"/>
    <w:rsid w:val="003378D5"/>
    <w:rsid w:val="003473D7"/>
    <w:rsid w:val="00351995"/>
    <w:rsid w:val="00351AC8"/>
    <w:rsid w:val="00353075"/>
    <w:rsid w:val="00363E02"/>
    <w:rsid w:val="00373A96"/>
    <w:rsid w:val="003826C2"/>
    <w:rsid w:val="00383728"/>
    <w:rsid w:val="00384E57"/>
    <w:rsid w:val="003903BB"/>
    <w:rsid w:val="0039195E"/>
    <w:rsid w:val="00392627"/>
    <w:rsid w:val="00394128"/>
    <w:rsid w:val="00394ADC"/>
    <w:rsid w:val="00395235"/>
    <w:rsid w:val="0039561A"/>
    <w:rsid w:val="00397C7D"/>
    <w:rsid w:val="003A004F"/>
    <w:rsid w:val="003A2158"/>
    <w:rsid w:val="003A3AC4"/>
    <w:rsid w:val="003B25A5"/>
    <w:rsid w:val="003B4130"/>
    <w:rsid w:val="003B6FA1"/>
    <w:rsid w:val="003B715B"/>
    <w:rsid w:val="003C2C62"/>
    <w:rsid w:val="003C5566"/>
    <w:rsid w:val="003C577A"/>
    <w:rsid w:val="003C7C74"/>
    <w:rsid w:val="003D1D14"/>
    <w:rsid w:val="003D6C7C"/>
    <w:rsid w:val="003D6EFB"/>
    <w:rsid w:val="003D7E52"/>
    <w:rsid w:val="003E25C6"/>
    <w:rsid w:val="003F7528"/>
    <w:rsid w:val="004011AA"/>
    <w:rsid w:val="0040202C"/>
    <w:rsid w:val="00404A8F"/>
    <w:rsid w:val="00406508"/>
    <w:rsid w:val="004110F6"/>
    <w:rsid w:val="004134F8"/>
    <w:rsid w:val="0041456E"/>
    <w:rsid w:val="004148E3"/>
    <w:rsid w:val="00414F7E"/>
    <w:rsid w:val="004164F8"/>
    <w:rsid w:val="00422224"/>
    <w:rsid w:val="00426F05"/>
    <w:rsid w:val="004328E1"/>
    <w:rsid w:val="004427B7"/>
    <w:rsid w:val="0044349F"/>
    <w:rsid w:val="00445F1F"/>
    <w:rsid w:val="00447862"/>
    <w:rsid w:val="00451F60"/>
    <w:rsid w:val="00452BB2"/>
    <w:rsid w:val="00456054"/>
    <w:rsid w:val="0045656D"/>
    <w:rsid w:val="00462D98"/>
    <w:rsid w:val="00463E7D"/>
    <w:rsid w:val="00472A44"/>
    <w:rsid w:val="00473A89"/>
    <w:rsid w:val="00475899"/>
    <w:rsid w:val="00482C78"/>
    <w:rsid w:val="00483ABC"/>
    <w:rsid w:val="0048634A"/>
    <w:rsid w:val="004874AE"/>
    <w:rsid w:val="0049056F"/>
    <w:rsid w:val="00492217"/>
    <w:rsid w:val="00494D24"/>
    <w:rsid w:val="004951D1"/>
    <w:rsid w:val="004960BB"/>
    <w:rsid w:val="004A1BA3"/>
    <w:rsid w:val="004A27D0"/>
    <w:rsid w:val="004A4D67"/>
    <w:rsid w:val="004B7E79"/>
    <w:rsid w:val="004C13CB"/>
    <w:rsid w:val="004C1AAB"/>
    <w:rsid w:val="004C5B90"/>
    <w:rsid w:val="004D3D4B"/>
    <w:rsid w:val="004D5498"/>
    <w:rsid w:val="004D66A5"/>
    <w:rsid w:val="004D6B00"/>
    <w:rsid w:val="004E1D50"/>
    <w:rsid w:val="004E3266"/>
    <w:rsid w:val="004E38BA"/>
    <w:rsid w:val="004E50CA"/>
    <w:rsid w:val="004F27A0"/>
    <w:rsid w:val="0050027D"/>
    <w:rsid w:val="00501382"/>
    <w:rsid w:val="005048FB"/>
    <w:rsid w:val="00510563"/>
    <w:rsid w:val="00510798"/>
    <w:rsid w:val="005119B5"/>
    <w:rsid w:val="005125F1"/>
    <w:rsid w:val="00524A11"/>
    <w:rsid w:val="00527768"/>
    <w:rsid w:val="00530EA4"/>
    <w:rsid w:val="005327FB"/>
    <w:rsid w:val="00533251"/>
    <w:rsid w:val="00533FCA"/>
    <w:rsid w:val="005346EF"/>
    <w:rsid w:val="00542F0C"/>
    <w:rsid w:val="005470D4"/>
    <w:rsid w:val="0055705E"/>
    <w:rsid w:val="005616B5"/>
    <w:rsid w:val="00566690"/>
    <w:rsid w:val="005679A4"/>
    <w:rsid w:val="00574CE6"/>
    <w:rsid w:val="0059223D"/>
    <w:rsid w:val="0059365B"/>
    <w:rsid w:val="00593ABC"/>
    <w:rsid w:val="00597B15"/>
    <w:rsid w:val="005A044C"/>
    <w:rsid w:val="005A149F"/>
    <w:rsid w:val="005A3A32"/>
    <w:rsid w:val="005B2C9F"/>
    <w:rsid w:val="005B34C9"/>
    <w:rsid w:val="005B571E"/>
    <w:rsid w:val="005C1D52"/>
    <w:rsid w:val="005C46AC"/>
    <w:rsid w:val="005D0200"/>
    <w:rsid w:val="005D44EF"/>
    <w:rsid w:val="005D5112"/>
    <w:rsid w:val="005D5D67"/>
    <w:rsid w:val="005F34CC"/>
    <w:rsid w:val="005F3914"/>
    <w:rsid w:val="005F3B5A"/>
    <w:rsid w:val="005F6AB4"/>
    <w:rsid w:val="00607471"/>
    <w:rsid w:val="00610A66"/>
    <w:rsid w:val="006119B8"/>
    <w:rsid w:val="00613177"/>
    <w:rsid w:val="00613F7C"/>
    <w:rsid w:val="00614BF2"/>
    <w:rsid w:val="0061557C"/>
    <w:rsid w:val="00623DE2"/>
    <w:rsid w:val="00627601"/>
    <w:rsid w:val="006300D0"/>
    <w:rsid w:val="00632012"/>
    <w:rsid w:val="00634694"/>
    <w:rsid w:val="00636517"/>
    <w:rsid w:val="00636EE7"/>
    <w:rsid w:val="00637690"/>
    <w:rsid w:val="00640E1E"/>
    <w:rsid w:val="0064389A"/>
    <w:rsid w:val="00645442"/>
    <w:rsid w:val="006525CD"/>
    <w:rsid w:val="00653F7F"/>
    <w:rsid w:val="00662DCD"/>
    <w:rsid w:val="00662EE8"/>
    <w:rsid w:val="00663813"/>
    <w:rsid w:val="00664AFD"/>
    <w:rsid w:val="00667567"/>
    <w:rsid w:val="0067391A"/>
    <w:rsid w:val="00674173"/>
    <w:rsid w:val="0067534F"/>
    <w:rsid w:val="00677D87"/>
    <w:rsid w:val="006834FA"/>
    <w:rsid w:val="00690DB1"/>
    <w:rsid w:val="00693404"/>
    <w:rsid w:val="006953D9"/>
    <w:rsid w:val="006A1269"/>
    <w:rsid w:val="006A5803"/>
    <w:rsid w:val="006A69C3"/>
    <w:rsid w:val="006A7C15"/>
    <w:rsid w:val="006B1242"/>
    <w:rsid w:val="006B1DBC"/>
    <w:rsid w:val="006B3712"/>
    <w:rsid w:val="006B7D9A"/>
    <w:rsid w:val="006C06D9"/>
    <w:rsid w:val="006C3E22"/>
    <w:rsid w:val="006C5716"/>
    <w:rsid w:val="006C64B2"/>
    <w:rsid w:val="006C74A9"/>
    <w:rsid w:val="006D07DE"/>
    <w:rsid w:val="006D361A"/>
    <w:rsid w:val="006D6A81"/>
    <w:rsid w:val="006E06D9"/>
    <w:rsid w:val="006E1D40"/>
    <w:rsid w:val="006E2E1F"/>
    <w:rsid w:val="006E5059"/>
    <w:rsid w:val="006F5F03"/>
    <w:rsid w:val="006F5FFF"/>
    <w:rsid w:val="00710804"/>
    <w:rsid w:val="00711FC6"/>
    <w:rsid w:val="00712952"/>
    <w:rsid w:val="007130B1"/>
    <w:rsid w:val="00713487"/>
    <w:rsid w:val="00715071"/>
    <w:rsid w:val="007231E9"/>
    <w:rsid w:val="00724F0E"/>
    <w:rsid w:val="007270A6"/>
    <w:rsid w:val="00727C59"/>
    <w:rsid w:val="00733730"/>
    <w:rsid w:val="00734E5D"/>
    <w:rsid w:val="00736013"/>
    <w:rsid w:val="00737BF8"/>
    <w:rsid w:val="0074339B"/>
    <w:rsid w:val="0074478E"/>
    <w:rsid w:val="00750B60"/>
    <w:rsid w:val="00756245"/>
    <w:rsid w:val="00761662"/>
    <w:rsid w:val="00764043"/>
    <w:rsid w:val="00766A36"/>
    <w:rsid w:val="007757CF"/>
    <w:rsid w:val="007769F6"/>
    <w:rsid w:val="00780F9D"/>
    <w:rsid w:val="0078128F"/>
    <w:rsid w:val="007819D9"/>
    <w:rsid w:val="0078683C"/>
    <w:rsid w:val="00790EDB"/>
    <w:rsid w:val="00791538"/>
    <w:rsid w:val="0079326E"/>
    <w:rsid w:val="00796EDE"/>
    <w:rsid w:val="007A5A58"/>
    <w:rsid w:val="007B1C56"/>
    <w:rsid w:val="007B2EDC"/>
    <w:rsid w:val="007C1DD7"/>
    <w:rsid w:val="007C3CD5"/>
    <w:rsid w:val="007C4756"/>
    <w:rsid w:val="007C5E88"/>
    <w:rsid w:val="007C61EF"/>
    <w:rsid w:val="007C6783"/>
    <w:rsid w:val="007D03DE"/>
    <w:rsid w:val="007D1C0D"/>
    <w:rsid w:val="007D2D23"/>
    <w:rsid w:val="007E1AE9"/>
    <w:rsid w:val="007E27D6"/>
    <w:rsid w:val="007E3921"/>
    <w:rsid w:val="00801028"/>
    <w:rsid w:val="00803793"/>
    <w:rsid w:val="00804000"/>
    <w:rsid w:val="008101A2"/>
    <w:rsid w:val="00817A01"/>
    <w:rsid w:val="00820937"/>
    <w:rsid w:val="00825E35"/>
    <w:rsid w:val="00830A4E"/>
    <w:rsid w:val="008334F8"/>
    <w:rsid w:val="00835FFD"/>
    <w:rsid w:val="0084381F"/>
    <w:rsid w:val="00843E35"/>
    <w:rsid w:val="008524CE"/>
    <w:rsid w:val="00857633"/>
    <w:rsid w:val="0086440C"/>
    <w:rsid w:val="008674ED"/>
    <w:rsid w:val="00874EE6"/>
    <w:rsid w:val="00876659"/>
    <w:rsid w:val="0087734C"/>
    <w:rsid w:val="00882141"/>
    <w:rsid w:val="00886BD4"/>
    <w:rsid w:val="008876EC"/>
    <w:rsid w:val="008922A8"/>
    <w:rsid w:val="00895BD5"/>
    <w:rsid w:val="008A16C4"/>
    <w:rsid w:val="008A4A27"/>
    <w:rsid w:val="008A649F"/>
    <w:rsid w:val="008A6FED"/>
    <w:rsid w:val="008B39C5"/>
    <w:rsid w:val="008B51AA"/>
    <w:rsid w:val="008C67F2"/>
    <w:rsid w:val="008D064A"/>
    <w:rsid w:val="008D2537"/>
    <w:rsid w:val="008D2B0F"/>
    <w:rsid w:val="008D633C"/>
    <w:rsid w:val="008E449E"/>
    <w:rsid w:val="008E4BDD"/>
    <w:rsid w:val="008E770C"/>
    <w:rsid w:val="008F187F"/>
    <w:rsid w:val="008F402F"/>
    <w:rsid w:val="008F76E8"/>
    <w:rsid w:val="00904508"/>
    <w:rsid w:val="009078A1"/>
    <w:rsid w:val="00911E9C"/>
    <w:rsid w:val="00917405"/>
    <w:rsid w:val="00920C1F"/>
    <w:rsid w:val="00920F7C"/>
    <w:rsid w:val="00922718"/>
    <w:rsid w:val="00924743"/>
    <w:rsid w:val="00932A87"/>
    <w:rsid w:val="00934CAE"/>
    <w:rsid w:val="0093560E"/>
    <w:rsid w:val="0094257D"/>
    <w:rsid w:val="009443B6"/>
    <w:rsid w:val="00946F68"/>
    <w:rsid w:val="0095467C"/>
    <w:rsid w:val="00954A61"/>
    <w:rsid w:val="00955C6F"/>
    <w:rsid w:val="00966C7B"/>
    <w:rsid w:val="009701DC"/>
    <w:rsid w:val="009715D8"/>
    <w:rsid w:val="009811A8"/>
    <w:rsid w:val="00991460"/>
    <w:rsid w:val="00995BF9"/>
    <w:rsid w:val="009975CC"/>
    <w:rsid w:val="009A0CAF"/>
    <w:rsid w:val="009A2207"/>
    <w:rsid w:val="009A2D34"/>
    <w:rsid w:val="009A6565"/>
    <w:rsid w:val="009B0EDA"/>
    <w:rsid w:val="009B6C42"/>
    <w:rsid w:val="009D2998"/>
    <w:rsid w:val="009D31F7"/>
    <w:rsid w:val="009D32C2"/>
    <w:rsid w:val="009D50DB"/>
    <w:rsid w:val="009E2932"/>
    <w:rsid w:val="009E3A0A"/>
    <w:rsid w:val="009F1936"/>
    <w:rsid w:val="009F3E91"/>
    <w:rsid w:val="00A008DA"/>
    <w:rsid w:val="00A00C93"/>
    <w:rsid w:val="00A0571E"/>
    <w:rsid w:val="00A13A27"/>
    <w:rsid w:val="00A1499B"/>
    <w:rsid w:val="00A170D8"/>
    <w:rsid w:val="00A30A1B"/>
    <w:rsid w:val="00A311AD"/>
    <w:rsid w:val="00A314C2"/>
    <w:rsid w:val="00A501BF"/>
    <w:rsid w:val="00A519A0"/>
    <w:rsid w:val="00A5274A"/>
    <w:rsid w:val="00A62A2E"/>
    <w:rsid w:val="00A63A4D"/>
    <w:rsid w:val="00A63E86"/>
    <w:rsid w:val="00A67AF7"/>
    <w:rsid w:val="00A75185"/>
    <w:rsid w:val="00A754A0"/>
    <w:rsid w:val="00A757C3"/>
    <w:rsid w:val="00A75E5B"/>
    <w:rsid w:val="00A75F4B"/>
    <w:rsid w:val="00A7684A"/>
    <w:rsid w:val="00A83B69"/>
    <w:rsid w:val="00A86533"/>
    <w:rsid w:val="00A91CA2"/>
    <w:rsid w:val="00A92FB8"/>
    <w:rsid w:val="00A948F1"/>
    <w:rsid w:val="00AA0BE3"/>
    <w:rsid w:val="00AA18F9"/>
    <w:rsid w:val="00AA1D7D"/>
    <w:rsid w:val="00AA2790"/>
    <w:rsid w:val="00AA3806"/>
    <w:rsid w:val="00AB139D"/>
    <w:rsid w:val="00AB2A35"/>
    <w:rsid w:val="00AB2D05"/>
    <w:rsid w:val="00AB3EFB"/>
    <w:rsid w:val="00AC0B05"/>
    <w:rsid w:val="00AC1962"/>
    <w:rsid w:val="00AC7F9D"/>
    <w:rsid w:val="00AD079A"/>
    <w:rsid w:val="00AD1890"/>
    <w:rsid w:val="00AE2149"/>
    <w:rsid w:val="00AE2BF3"/>
    <w:rsid w:val="00AE33AE"/>
    <w:rsid w:val="00AE3986"/>
    <w:rsid w:val="00AE3F91"/>
    <w:rsid w:val="00AF5B63"/>
    <w:rsid w:val="00B0053D"/>
    <w:rsid w:val="00B01176"/>
    <w:rsid w:val="00B039E3"/>
    <w:rsid w:val="00B06D36"/>
    <w:rsid w:val="00B12BC4"/>
    <w:rsid w:val="00B22838"/>
    <w:rsid w:val="00B33E8F"/>
    <w:rsid w:val="00B33E95"/>
    <w:rsid w:val="00B3720B"/>
    <w:rsid w:val="00B45D0B"/>
    <w:rsid w:val="00B52FA0"/>
    <w:rsid w:val="00B5558A"/>
    <w:rsid w:val="00B56513"/>
    <w:rsid w:val="00B61B64"/>
    <w:rsid w:val="00B631E4"/>
    <w:rsid w:val="00B64376"/>
    <w:rsid w:val="00B6570C"/>
    <w:rsid w:val="00B6790B"/>
    <w:rsid w:val="00B7401F"/>
    <w:rsid w:val="00B769CF"/>
    <w:rsid w:val="00B806C3"/>
    <w:rsid w:val="00B80D6F"/>
    <w:rsid w:val="00B84FCA"/>
    <w:rsid w:val="00B9089F"/>
    <w:rsid w:val="00B91826"/>
    <w:rsid w:val="00B91AEE"/>
    <w:rsid w:val="00B95F5A"/>
    <w:rsid w:val="00B96EAD"/>
    <w:rsid w:val="00BA4962"/>
    <w:rsid w:val="00BA4B7C"/>
    <w:rsid w:val="00BA79F5"/>
    <w:rsid w:val="00BA7EA7"/>
    <w:rsid w:val="00BB2E28"/>
    <w:rsid w:val="00BB3AB6"/>
    <w:rsid w:val="00BB766D"/>
    <w:rsid w:val="00BC007B"/>
    <w:rsid w:val="00BC1715"/>
    <w:rsid w:val="00BC26BA"/>
    <w:rsid w:val="00BC35F8"/>
    <w:rsid w:val="00BC481B"/>
    <w:rsid w:val="00BD08DF"/>
    <w:rsid w:val="00BD2D29"/>
    <w:rsid w:val="00BD617C"/>
    <w:rsid w:val="00BE782C"/>
    <w:rsid w:val="00BF376F"/>
    <w:rsid w:val="00BF46A6"/>
    <w:rsid w:val="00BF6CAD"/>
    <w:rsid w:val="00BF71FB"/>
    <w:rsid w:val="00C04DBF"/>
    <w:rsid w:val="00C05E4C"/>
    <w:rsid w:val="00C06545"/>
    <w:rsid w:val="00C134AF"/>
    <w:rsid w:val="00C220FC"/>
    <w:rsid w:val="00C24DFA"/>
    <w:rsid w:val="00C24F9D"/>
    <w:rsid w:val="00C30182"/>
    <w:rsid w:val="00C31FC9"/>
    <w:rsid w:val="00C37A63"/>
    <w:rsid w:val="00C42248"/>
    <w:rsid w:val="00C46A36"/>
    <w:rsid w:val="00C47037"/>
    <w:rsid w:val="00C50235"/>
    <w:rsid w:val="00C509E3"/>
    <w:rsid w:val="00C53625"/>
    <w:rsid w:val="00C548BA"/>
    <w:rsid w:val="00C5679D"/>
    <w:rsid w:val="00C57784"/>
    <w:rsid w:val="00C602C1"/>
    <w:rsid w:val="00C63FC0"/>
    <w:rsid w:val="00C66392"/>
    <w:rsid w:val="00C7075D"/>
    <w:rsid w:val="00C73D09"/>
    <w:rsid w:val="00C74895"/>
    <w:rsid w:val="00C74C5E"/>
    <w:rsid w:val="00C82558"/>
    <w:rsid w:val="00C827A2"/>
    <w:rsid w:val="00C82B69"/>
    <w:rsid w:val="00C82C8E"/>
    <w:rsid w:val="00C82CB3"/>
    <w:rsid w:val="00C91B28"/>
    <w:rsid w:val="00C91F3A"/>
    <w:rsid w:val="00C93590"/>
    <w:rsid w:val="00CA31EA"/>
    <w:rsid w:val="00CA5446"/>
    <w:rsid w:val="00CB14E5"/>
    <w:rsid w:val="00CB218D"/>
    <w:rsid w:val="00CB5625"/>
    <w:rsid w:val="00CB5797"/>
    <w:rsid w:val="00CC1C17"/>
    <w:rsid w:val="00CC4F7F"/>
    <w:rsid w:val="00CC5D70"/>
    <w:rsid w:val="00CD09E1"/>
    <w:rsid w:val="00CE1780"/>
    <w:rsid w:val="00CE4913"/>
    <w:rsid w:val="00CE66BD"/>
    <w:rsid w:val="00CF0671"/>
    <w:rsid w:val="00CF247A"/>
    <w:rsid w:val="00CF44AD"/>
    <w:rsid w:val="00CF4D7C"/>
    <w:rsid w:val="00CF4FC0"/>
    <w:rsid w:val="00CF7486"/>
    <w:rsid w:val="00D00637"/>
    <w:rsid w:val="00D1072F"/>
    <w:rsid w:val="00D108A5"/>
    <w:rsid w:val="00D14585"/>
    <w:rsid w:val="00D153C8"/>
    <w:rsid w:val="00D17F98"/>
    <w:rsid w:val="00D20EFF"/>
    <w:rsid w:val="00D215B9"/>
    <w:rsid w:val="00D31324"/>
    <w:rsid w:val="00D4386E"/>
    <w:rsid w:val="00D51432"/>
    <w:rsid w:val="00D53ED8"/>
    <w:rsid w:val="00D541A0"/>
    <w:rsid w:val="00D64857"/>
    <w:rsid w:val="00D6493A"/>
    <w:rsid w:val="00D649A5"/>
    <w:rsid w:val="00D66833"/>
    <w:rsid w:val="00D67875"/>
    <w:rsid w:val="00D71E86"/>
    <w:rsid w:val="00D731C6"/>
    <w:rsid w:val="00D745C5"/>
    <w:rsid w:val="00D75327"/>
    <w:rsid w:val="00D77D6B"/>
    <w:rsid w:val="00D80C36"/>
    <w:rsid w:val="00D81A32"/>
    <w:rsid w:val="00D86EE1"/>
    <w:rsid w:val="00D95E90"/>
    <w:rsid w:val="00D96126"/>
    <w:rsid w:val="00DA2FD5"/>
    <w:rsid w:val="00DB4B1C"/>
    <w:rsid w:val="00DB5085"/>
    <w:rsid w:val="00DB619F"/>
    <w:rsid w:val="00DB7211"/>
    <w:rsid w:val="00DC1062"/>
    <w:rsid w:val="00DC132C"/>
    <w:rsid w:val="00DC181A"/>
    <w:rsid w:val="00DC5727"/>
    <w:rsid w:val="00DD43F0"/>
    <w:rsid w:val="00DD44DE"/>
    <w:rsid w:val="00DE09AB"/>
    <w:rsid w:val="00DE1DCC"/>
    <w:rsid w:val="00DE352F"/>
    <w:rsid w:val="00DE4A3F"/>
    <w:rsid w:val="00DE5A99"/>
    <w:rsid w:val="00DF4367"/>
    <w:rsid w:val="00DF7291"/>
    <w:rsid w:val="00E0574A"/>
    <w:rsid w:val="00E1243D"/>
    <w:rsid w:val="00E12742"/>
    <w:rsid w:val="00E146D4"/>
    <w:rsid w:val="00E14815"/>
    <w:rsid w:val="00E21D37"/>
    <w:rsid w:val="00E220ED"/>
    <w:rsid w:val="00E22B44"/>
    <w:rsid w:val="00E30ACD"/>
    <w:rsid w:val="00E32735"/>
    <w:rsid w:val="00E34236"/>
    <w:rsid w:val="00E44B88"/>
    <w:rsid w:val="00E60DDB"/>
    <w:rsid w:val="00E65AD9"/>
    <w:rsid w:val="00E66E36"/>
    <w:rsid w:val="00E67F21"/>
    <w:rsid w:val="00E702ED"/>
    <w:rsid w:val="00E709A4"/>
    <w:rsid w:val="00E75917"/>
    <w:rsid w:val="00E772DB"/>
    <w:rsid w:val="00E86012"/>
    <w:rsid w:val="00E860CA"/>
    <w:rsid w:val="00E86BAB"/>
    <w:rsid w:val="00E92962"/>
    <w:rsid w:val="00E94E10"/>
    <w:rsid w:val="00E96743"/>
    <w:rsid w:val="00E96A42"/>
    <w:rsid w:val="00E97497"/>
    <w:rsid w:val="00EA16D5"/>
    <w:rsid w:val="00EA49C5"/>
    <w:rsid w:val="00EA6279"/>
    <w:rsid w:val="00EB5027"/>
    <w:rsid w:val="00EB6C87"/>
    <w:rsid w:val="00EC1836"/>
    <w:rsid w:val="00EC2F6E"/>
    <w:rsid w:val="00EC3990"/>
    <w:rsid w:val="00EC484B"/>
    <w:rsid w:val="00EC7E58"/>
    <w:rsid w:val="00ED15FA"/>
    <w:rsid w:val="00ED5C9F"/>
    <w:rsid w:val="00EE050C"/>
    <w:rsid w:val="00EE2113"/>
    <w:rsid w:val="00EE5730"/>
    <w:rsid w:val="00EE6E9A"/>
    <w:rsid w:val="00EF2AC4"/>
    <w:rsid w:val="00EF397E"/>
    <w:rsid w:val="00F0340C"/>
    <w:rsid w:val="00F06F68"/>
    <w:rsid w:val="00F11241"/>
    <w:rsid w:val="00F15E9D"/>
    <w:rsid w:val="00F23FA7"/>
    <w:rsid w:val="00F24C2D"/>
    <w:rsid w:val="00F27BEC"/>
    <w:rsid w:val="00F27D59"/>
    <w:rsid w:val="00F316E1"/>
    <w:rsid w:val="00F32155"/>
    <w:rsid w:val="00F32A81"/>
    <w:rsid w:val="00F40C82"/>
    <w:rsid w:val="00F4197F"/>
    <w:rsid w:val="00F46998"/>
    <w:rsid w:val="00F5382D"/>
    <w:rsid w:val="00F53D9C"/>
    <w:rsid w:val="00F54195"/>
    <w:rsid w:val="00F5462B"/>
    <w:rsid w:val="00F54653"/>
    <w:rsid w:val="00F54FAC"/>
    <w:rsid w:val="00F569DE"/>
    <w:rsid w:val="00F57205"/>
    <w:rsid w:val="00F634AD"/>
    <w:rsid w:val="00F63677"/>
    <w:rsid w:val="00F70658"/>
    <w:rsid w:val="00F7417E"/>
    <w:rsid w:val="00F75B81"/>
    <w:rsid w:val="00F761CA"/>
    <w:rsid w:val="00F804C4"/>
    <w:rsid w:val="00F80C7E"/>
    <w:rsid w:val="00F82F83"/>
    <w:rsid w:val="00F86097"/>
    <w:rsid w:val="00F90C64"/>
    <w:rsid w:val="00F9210C"/>
    <w:rsid w:val="00F92B30"/>
    <w:rsid w:val="00F933B9"/>
    <w:rsid w:val="00F94674"/>
    <w:rsid w:val="00F94919"/>
    <w:rsid w:val="00F94A59"/>
    <w:rsid w:val="00FA25B6"/>
    <w:rsid w:val="00FA2FAF"/>
    <w:rsid w:val="00FA54F6"/>
    <w:rsid w:val="00FA64B1"/>
    <w:rsid w:val="00FA70F3"/>
    <w:rsid w:val="00FA71CD"/>
    <w:rsid w:val="00FB0453"/>
    <w:rsid w:val="00FB0C07"/>
    <w:rsid w:val="00FB205F"/>
    <w:rsid w:val="00FB298D"/>
    <w:rsid w:val="00FB3171"/>
    <w:rsid w:val="00FB444E"/>
    <w:rsid w:val="00FC1439"/>
    <w:rsid w:val="00FC3F65"/>
    <w:rsid w:val="00FC5007"/>
    <w:rsid w:val="00FC70AD"/>
    <w:rsid w:val="00FC724B"/>
    <w:rsid w:val="00FC7910"/>
    <w:rsid w:val="00FD01E0"/>
    <w:rsid w:val="00FD50FC"/>
    <w:rsid w:val="00FE1627"/>
    <w:rsid w:val="00FE2D4E"/>
    <w:rsid w:val="00FE3F22"/>
    <w:rsid w:val="00FF092F"/>
    <w:rsid w:val="00FF0DA7"/>
    <w:rsid w:val="00FF2B09"/>
    <w:rsid w:val="00FF44E0"/>
    <w:rsid w:val="00FF6C72"/>
    <w:rsid w:val="01722E9F"/>
    <w:rsid w:val="01915CC2"/>
    <w:rsid w:val="02EB0203"/>
    <w:rsid w:val="06AE129F"/>
    <w:rsid w:val="072D20A4"/>
    <w:rsid w:val="0A3D35AB"/>
    <w:rsid w:val="0A542106"/>
    <w:rsid w:val="0A6C4667"/>
    <w:rsid w:val="0BBE711B"/>
    <w:rsid w:val="0BD47173"/>
    <w:rsid w:val="0C6157E5"/>
    <w:rsid w:val="0DB63633"/>
    <w:rsid w:val="10607C4F"/>
    <w:rsid w:val="106E6418"/>
    <w:rsid w:val="11323C4E"/>
    <w:rsid w:val="12D71D5F"/>
    <w:rsid w:val="151B7FB7"/>
    <w:rsid w:val="16B27D38"/>
    <w:rsid w:val="1930691F"/>
    <w:rsid w:val="1A6528FE"/>
    <w:rsid w:val="1A835004"/>
    <w:rsid w:val="1BA61F6F"/>
    <w:rsid w:val="1C63029E"/>
    <w:rsid w:val="1C715A71"/>
    <w:rsid w:val="1CC921E7"/>
    <w:rsid w:val="1D1C4205"/>
    <w:rsid w:val="1D444EB6"/>
    <w:rsid w:val="1DA840EB"/>
    <w:rsid w:val="20C16461"/>
    <w:rsid w:val="226F2197"/>
    <w:rsid w:val="23146520"/>
    <w:rsid w:val="23585502"/>
    <w:rsid w:val="27CA60F4"/>
    <w:rsid w:val="27E85AF1"/>
    <w:rsid w:val="29DA6B0B"/>
    <w:rsid w:val="2A093B18"/>
    <w:rsid w:val="2A8D7B4E"/>
    <w:rsid w:val="2B412386"/>
    <w:rsid w:val="2BB34FD2"/>
    <w:rsid w:val="2D1633EB"/>
    <w:rsid w:val="2DE16C1F"/>
    <w:rsid w:val="2E1B2EA1"/>
    <w:rsid w:val="2E63511A"/>
    <w:rsid w:val="2EB35320"/>
    <w:rsid w:val="2F111D48"/>
    <w:rsid w:val="2F317872"/>
    <w:rsid w:val="2F3F0C54"/>
    <w:rsid w:val="2F4615DA"/>
    <w:rsid w:val="31197749"/>
    <w:rsid w:val="32691053"/>
    <w:rsid w:val="32A538A5"/>
    <w:rsid w:val="330E360D"/>
    <w:rsid w:val="33B37D2E"/>
    <w:rsid w:val="352620DC"/>
    <w:rsid w:val="35E5310F"/>
    <w:rsid w:val="3661430F"/>
    <w:rsid w:val="369D587E"/>
    <w:rsid w:val="370F3BF6"/>
    <w:rsid w:val="39E10D60"/>
    <w:rsid w:val="3BFC5E74"/>
    <w:rsid w:val="3C0059BB"/>
    <w:rsid w:val="3C5F3E33"/>
    <w:rsid w:val="3F5E4365"/>
    <w:rsid w:val="41AF5742"/>
    <w:rsid w:val="42B740A7"/>
    <w:rsid w:val="4353477A"/>
    <w:rsid w:val="43C05511"/>
    <w:rsid w:val="45FC7108"/>
    <w:rsid w:val="473A7BED"/>
    <w:rsid w:val="47863A67"/>
    <w:rsid w:val="478F71C4"/>
    <w:rsid w:val="4821786A"/>
    <w:rsid w:val="4825146D"/>
    <w:rsid w:val="4A6169D0"/>
    <w:rsid w:val="4B014864"/>
    <w:rsid w:val="4B954E7C"/>
    <w:rsid w:val="4E6B046C"/>
    <w:rsid w:val="4E707289"/>
    <w:rsid w:val="4EEA3D40"/>
    <w:rsid w:val="4F5D071B"/>
    <w:rsid w:val="4F9B688F"/>
    <w:rsid w:val="54087D99"/>
    <w:rsid w:val="54A72003"/>
    <w:rsid w:val="5809250B"/>
    <w:rsid w:val="5A7F6B6C"/>
    <w:rsid w:val="5AFB613D"/>
    <w:rsid w:val="5BC0556E"/>
    <w:rsid w:val="5FD74633"/>
    <w:rsid w:val="60E412C0"/>
    <w:rsid w:val="61E323AE"/>
    <w:rsid w:val="623331AC"/>
    <w:rsid w:val="625772C4"/>
    <w:rsid w:val="650516A8"/>
    <w:rsid w:val="65330581"/>
    <w:rsid w:val="65830E72"/>
    <w:rsid w:val="66E81280"/>
    <w:rsid w:val="69110DD3"/>
    <w:rsid w:val="691D526F"/>
    <w:rsid w:val="69676D3F"/>
    <w:rsid w:val="6A2E3597"/>
    <w:rsid w:val="6C8D150C"/>
    <w:rsid w:val="6CE35249"/>
    <w:rsid w:val="6E39711A"/>
    <w:rsid w:val="6E997D6C"/>
    <w:rsid w:val="6EF616F6"/>
    <w:rsid w:val="6F5D575B"/>
    <w:rsid w:val="71467526"/>
    <w:rsid w:val="74FC2405"/>
    <w:rsid w:val="754058DD"/>
    <w:rsid w:val="771A04F8"/>
    <w:rsid w:val="784A4B73"/>
    <w:rsid w:val="786924FD"/>
    <w:rsid w:val="799B26EC"/>
    <w:rsid w:val="7A5B3FA8"/>
    <w:rsid w:val="7BA174E1"/>
    <w:rsid w:val="7BC04FC3"/>
    <w:rsid w:val="7CA72746"/>
    <w:rsid w:val="7DC33C3F"/>
    <w:rsid w:val="7EA81A90"/>
    <w:rsid w:val="7F2B1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53"/>
    <w:qFormat/>
    <w:uiPriority w:val="9"/>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paragraph" w:styleId="2">
    <w:name w:val="heading 3"/>
    <w:basedOn w:val="1"/>
    <w:next w:val="1"/>
    <w:link w:val="55"/>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60"/>
    <w:qFormat/>
    <w:uiPriority w:val="0"/>
    <w:pPr>
      <w:keepNext/>
      <w:keepLines/>
      <w:spacing w:before="280" w:after="290" w:line="376" w:lineRule="auto"/>
      <w:outlineLvl w:val="3"/>
    </w:pPr>
    <w:rPr>
      <w:b/>
      <w:bCs/>
      <w:sz w:val="28"/>
      <w:szCs w:val="28"/>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autoSpaceDE w:val="0"/>
      <w:autoSpaceDN w:val="0"/>
      <w:adjustRightInd w:val="0"/>
      <w:ind w:firstLine="420"/>
      <w:jc w:val="left"/>
    </w:pPr>
    <w:rPr>
      <w:rFonts w:ascii="宋体" w:hAnsi="Times New Roman" w:eastAsia="宋体" w:cs="Times New Roman"/>
      <w:kern w:val="0"/>
      <w:sz w:val="24"/>
    </w:rPr>
  </w:style>
  <w:style w:type="paragraph" w:styleId="7">
    <w:name w:val="annotation text"/>
    <w:basedOn w:val="1"/>
    <w:link w:val="52"/>
    <w:qFormat/>
    <w:uiPriority w:val="0"/>
    <w:pPr>
      <w:jc w:val="left"/>
    </w:pPr>
    <w:rPr>
      <w:rFonts w:ascii="Arial" w:hAnsi="Arial" w:eastAsia="黑体" w:cs="Arial"/>
    </w:rPr>
  </w:style>
  <w:style w:type="paragraph" w:styleId="8">
    <w:name w:val="Body Text"/>
    <w:basedOn w:val="1"/>
    <w:link w:val="61"/>
    <w:qFormat/>
    <w:uiPriority w:val="0"/>
    <w:pPr>
      <w:spacing w:after="120"/>
    </w:pPr>
    <w:rPr>
      <w:rFonts w:ascii="@微软简标宋" w:hAnsi="@微软简标宋" w:eastAsia="@微软简标宋" w:cs="@微软简标宋"/>
      <w:szCs w:val="24"/>
      <w:lang w:val="zh-CN"/>
    </w:rPr>
  </w:style>
  <w:style w:type="paragraph" w:styleId="9">
    <w:name w:val="toc 3"/>
    <w:basedOn w:val="1"/>
    <w:next w:val="1"/>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0">
    <w:name w:val="Plain Text"/>
    <w:basedOn w:val="1"/>
    <w:link w:val="41"/>
    <w:qFormat/>
    <w:uiPriority w:val="99"/>
    <w:rPr>
      <w:rFonts w:ascii="宋体" w:hAnsi="Courier New" w:eastAsiaTheme="minorEastAsia" w:cstheme="minorBidi"/>
      <w:szCs w:val="22"/>
    </w:rPr>
  </w:style>
  <w:style w:type="paragraph" w:styleId="11">
    <w:name w:val="Date"/>
    <w:basedOn w:val="1"/>
    <w:next w:val="1"/>
    <w:link w:val="48"/>
    <w:qFormat/>
    <w:uiPriority w:val="0"/>
    <w:rPr>
      <w:rFonts w:ascii="Arial" w:hAnsi="Arial" w:eastAsia="宋体" w:cs="Arial"/>
      <w:b/>
      <w:sz w:val="28"/>
    </w:rPr>
  </w:style>
  <w:style w:type="paragraph" w:styleId="12">
    <w:name w:val="Balloon Text"/>
    <w:basedOn w:val="1"/>
    <w:link w:val="35"/>
    <w:semiHidden/>
    <w:unhideWhenUsed/>
    <w:qFormat/>
    <w:uiPriority w:val="99"/>
    <w:rPr>
      <w:sz w:val="18"/>
      <w:szCs w:val="18"/>
    </w:rPr>
  </w:style>
  <w:style w:type="paragraph" w:styleId="13">
    <w:name w:val="footer"/>
    <w:basedOn w:val="1"/>
    <w:link w:val="40"/>
    <w:unhideWhenUsed/>
    <w:qFormat/>
    <w:uiPriority w:val="99"/>
    <w:pPr>
      <w:tabs>
        <w:tab w:val="center" w:pos="4153"/>
        <w:tab w:val="right" w:pos="8306"/>
      </w:tabs>
      <w:snapToGrid w:val="0"/>
      <w:jc w:val="left"/>
    </w:pPr>
    <w:rPr>
      <w:sz w:val="18"/>
      <w:szCs w:val="18"/>
    </w:rPr>
  </w:style>
  <w:style w:type="paragraph" w:styleId="14">
    <w:name w:val="header"/>
    <w:basedOn w:val="1"/>
    <w:link w:val="39"/>
    <w:unhideWhenUsed/>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6">
    <w:name w:val="toc 2"/>
    <w:basedOn w:val="1"/>
    <w:next w:val="1"/>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7">
    <w:name w:val="Normal (Web)"/>
    <w:basedOn w:val="1"/>
    <w:qFormat/>
    <w:uiPriority w:val="0"/>
    <w:pPr>
      <w:spacing w:before="100" w:beforeAutospacing="1" w:after="100" w:afterAutospacing="1"/>
      <w:jc w:val="left"/>
    </w:pPr>
    <w:rPr>
      <w:rFonts w:cs="Times New Roman"/>
      <w:kern w:val="0"/>
      <w:sz w:val="24"/>
    </w:rPr>
  </w:style>
  <w:style w:type="paragraph" w:styleId="18">
    <w:name w:val="index 1"/>
    <w:basedOn w:val="1"/>
    <w:next w:val="1"/>
    <w:qFormat/>
    <w:uiPriority w:val="0"/>
    <w:pPr>
      <w:jc w:val="center"/>
    </w:pPr>
    <w:rPr>
      <w:rFonts w:ascii="Arial" w:hAnsi="Arial" w:eastAsia="Arial" w:cs="Arial"/>
      <w:b/>
      <w:bCs/>
      <w:sz w:val="28"/>
    </w:rPr>
  </w:style>
  <w:style w:type="paragraph" w:styleId="19">
    <w:name w:val="Body Text First Indent"/>
    <w:basedOn w:val="8"/>
    <w:unhideWhenUsed/>
    <w:qFormat/>
    <w:uiPriority w:val="99"/>
    <w:pPr>
      <w:ind w:firstLine="420" w:firstLineChars="100"/>
    </w:pPr>
  </w:style>
  <w:style w:type="table" w:styleId="21">
    <w:name w:val="Table Grid"/>
    <w:basedOn w:val="20"/>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Strong"/>
    <w:qFormat/>
    <w:uiPriority w:val="0"/>
    <w:rPr>
      <w:b/>
      <w:bCs/>
    </w:rPr>
  </w:style>
  <w:style w:type="character" w:styleId="24">
    <w:name w:val="FollowedHyperlink"/>
    <w:basedOn w:val="22"/>
    <w:semiHidden/>
    <w:unhideWhenUsed/>
    <w:qFormat/>
    <w:uiPriority w:val="99"/>
    <w:rPr>
      <w:color w:val="800080"/>
      <w:u w:val="none"/>
    </w:rPr>
  </w:style>
  <w:style w:type="character" w:styleId="25">
    <w:name w:val="Emphasis"/>
    <w:basedOn w:val="22"/>
    <w:qFormat/>
    <w:uiPriority w:val="20"/>
    <w:rPr>
      <w:b/>
      <w:bCs/>
    </w:rPr>
  </w:style>
  <w:style w:type="character" w:styleId="26">
    <w:name w:val="HTML Definition"/>
    <w:basedOn w:val="22"/>
    <w:semiHidden/>
    <w:unhideWhenUsed/>
    <w:qFormat/>
    <w:uiPriority w:val="99"/>
  </w:style>
  <w:style w:type="character" w:styleId="27">
    <w:name w:val="HTML Typewriter"/>
    <w:basedOn w:val="22"/>
    <w:semiHidden/>
    <w:unhideWhenUsed/>
    <w:qFormat/>
    <w:uiPriority w:val="99"/>
    <w:rPr>
      <w:rFonts w:hint="default" w:ascii="monospace" w:hAnsi="monospace" w:eastAsia="monospace" w:cs="monospace"/>
      <w:sz w:val="20"/>
    </w:rPr>
  </w:style>
  <w:style w:type="character" w:styleId="28">
    <w:name w:val="HTML Acronym"/>
    <w:basedOn w:val="22"/>
    <w:semiHidden/>
    <w:unhideWhenUsed/>
    <w:qFormat/>
    <w:uiPriority w:val="99"/>
  </w:style>
  <w:style w:type="character" w:styleId="29">
    <w:name w:val="HTML Variable"/>
    <w:basedOn w:val="22"/>
    <w:semiHidden/>
    <w:unhideWhenUsed/>
    <w:qFormat/>
    <w:uiPriority w:val="99"/>
  </w:style>
  <w:style w:type="character" w:styleId="30">
    <w:name w:val="Hyperlink"/>
    <w:basedOn w:val="22"/>
    <w:unhideWhenUsed/>
    <w:qFormat/>
    <w:uiPriority w:val="99"/>
    <w:rPr>
      <w:color w:val="0000FF" w:themeColor="hyperlink"/>
      <w:u w:val="single"/>
      <w14:textFill>
        <w14:solidFill>
          <w14:schemeClr w14:val="hlink"/>
        </w14:solidFill>
      </w14:textFill>
    </w:rPr>
  </w:style>
  <w:style w:type="character" w:styleId="31">
    <w:name w:val="HTML Code"/>
    <w:basedOn w:val="22"/>
    <w:semiHidden/>
    <w:unhideWhenUsed/>
    <w:qFormat/>
    <w:uiPriority w:val="99"/>
    <w:rPr>
      <w:rFonts w:ascii="monospace" w:hAnsi="monospace" w:eastAsia="monospace" w:cs="monospace"/>
      <w:sz w:val="20"/>
    </w:rPr>
  </w:style>
  <w:style w:type="character" w:styleId="32">
    <w:name w:val="HTML Cite"/>
    <w:basedOn w:val="22"/>
    <w:semiHidden/>
    <w:unhideWhenUsed/>
    <w:qFormat/>
    <w:uiPriority w:val="99"/>
  </w:style>
  <w:style w:type="character" w:styleId="33">
    <w:name w:val="HTML Keyboard"/>
    <w:basedOn w:val="22"/>
    <w:semiHidden/>
    <w:unhideWhenUsed/>
    <w:qFormat/>
    <w:uiPriority w:val="99"/>
    <w:rPr>
      <w:rFonts w:hint="default" w:ascii="monospace" w:hAnsi="monospace" w:eastAsia="monospace" w:cs="monospace"/>
      <w:sz w:val="20"/>
    </w:rPr>
  </w:style>
  <w:style w:type="character" w:styleId="34">
    <w:name w:val="HTML Sample"/>
    <w:basedOn w:val="22"/>
    <w:semiHidden/>
    <w:unhideWhenUsed/>
    <w:qFormat/>
    <w:uiPriority w:val="99"/>
    <w:rPr>
      <w:rFonts w:hint="default" w:ascii="monospace" w:hAnsi="monospace" w:eastAsia="monospace" w:cs="monospace"/>
    </w:rPr>
  </w:style>
  <w:style w:type="character" w:customStyle="1" w:styleId="35">
    <w:name w:val="批注框文本 Char"/>
    <w:basedOn w:val="22"/>
    <w:link w:val="12"/>
    <w:semiHidden/>
    <w:qFormat/>
    <w:uiPriority w:val="99"/>
    <w:rPr>
      <w:rFonts w:ascii="@仿宋_GB2312" w:hAnsi="@仿宋_GB2312" w:eastAsia="@仿宋_GB2312" w:cs="@仿宋_GB2312"/>
      <w:sz w:val="18"/>
      <w:szCs w:val="18"/>
    </w:rPr>
  </w:style>
  <w:style w:type="paragraph" w:customStyle="1" w:styleId="36">
    <w:name w:val="正文（缩进）"/>
    <w:basedOn w:val="1"/>
    <w:qFormat/>
    <w:uiPriority w:val="0"/>
    <w:pPr>
      <w:widowControl/>
      <w:spacing w:before="156" w:after="156"/>
      <w:ind w:firstLine="480" w:firstLineChars="200"/>
      <w:jc w:val="left"/>
    </w:pPr>
    <w:rPr>
      <w:kern w:val="0"/>
      <w:sz w:val="24"/>
      <w:szCs w:val="24"/>
    </w:rPr>
  </w:style>
  <w:style w:type="paragraph" w:customStyle="1" w:styleId="37">
    <w:name w:val="xl31"/>
    <w:basedOn w:val="1"/>
    <w:qFormat/>
    <w:uiPriority w:val="0"/>
    <w:pPr>
      <w:widowControl/>
      <w:spacing w:before="100" w:beforeAutospacing="1" w:after="100" w:afterAutospacing="1"/>
      <w:jc w:val="center"/>
    </w:pPr>
    <w:rPr>
      <w:b/>
      <w:bCs/>
      <w:kern w:val="0"/>
      <w:sz w:val="28"/>
      <w:szCs w:val="28"/>
    </w:rPr>
  </w:style>
  <w:style w:type="paragraph" w:customStyle="1" w:styleId="38">
    <w:name w:val="D&amp;L"/>
    <w:basedOn w:val="14"/>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39">
    <w:name w:val="页眉 Char"/>
    <w:basedOn w:val="22"/>
    <w:link w:val="14"/>
    <w:qFormat/>
    <w:uiPriority w:val="0"/>
    <w:rPr>
      <w:rFonts w:ascii="@仿宋_GB2312" w:hAnsi="@仿宋_GB2312" w:eastAsia="@仿宋_GB2312" w:cs="@仿宋_GB2312"/>
      <w:sz w:val="18"/>
      <w:szCs w:val="18"/>
    </w:rPr>
  </w:style>
  <w:style w:type="character" w:customStyle="1" w:styleId="40">
    <w:name w:val="页脚 Char"/>
    <w:basedOn w:val="22"/>
    <w:link w:val="13"/>
    <w:qFormat/>
    <w:uiPriority w:val="99"/>
    <w:rPr>
      <w:rFonts w:ascii="@仿宋_GB2312" w:hAnsi="@仿宋_GB2312" w:eastAsia="@仿宋_GB2312" w:cs="@仿宋_GB2312"/>
      <w:sz w:val="18"/>
      <w:szCs w:val="18"/>
    </w:rPr>
  </w:style>
  <w:style w:type="character" w:customStyle="1" w:styleId="41">
    <w:name w:val="纯文本 Char"/>
    <w:link w:val="10"/>
    <w:qFormat/>
    <w:uiPriority w:val="0"/>
    <w:rPr>
      <w:rFonts w:ascii="宋体" w:hAnsi="Courier New"/>
    </w:rPr>
  </w:style>
  <w:style w:type="character" w:customStyle="1" w:styleId="42">
    <w:name w:val="纯文本 字符1"/>
    <w:basedOn w:val="22"/>
    <w:semiHidden/>
    <w:qFormat/>
    <w:uiPriority w:val="99"/>
    <w:rPr>
      <w:rFonts w:hAnsi="Courier New" w:cs="Courier New" w:asciiTheme="minorEastAsia"/>
      <w:szCs w:val="20"/>
    </w:rPr>
  </w:style>
  <w:style w:type="character" w:customStyle="1" w:styleId="43">
    <w:name w:val="未处理的提及1"/>
    <w:basedOn w:val="22"/>
    <w:semiHidden/>
    <w:unhideWhenUsed/>
    <w:qFormat/>
    <w:uiPriority w:val="99"/>
    <w:rPr>
      <w:color w:val="605E5C"/>
      <w:shd w:val="clear" w:color="auto" w:fill="E1DFDD"/>
    </w:rPr>
  </w:style>
  <w:style w:type="paragraph" w:styleId="44">
    <w:name w:val="List Paragraph"/>
    <w:basedOn w:val="1"/>
    <w:qFormat/>
    <w:uiPriority w:val="34"/>
    <w:pPr>
      <w:ind w:firstLine="420" w:firstLineChars="200"/>
    </w:pPr>
  </w:style>
  <w:style w:type="paragraph" w:customStyle="1" w:styleId="45">
    <w:name w:val="Char Char Char Char Char Char Char1 Char"/>
    <w:basedOn w:val="1"/>
    <w:qFormat/>
    <w:uiPriority w:val="0"/>
    <w:rPr>
      <w:rFonts w:ascii="Arial" w:hAnsi="Arial" w:eastAsia="宋体" w:cs="Arial"/>
      <w:sz w:val="24"/>
    </w:rPr>
  </w:style>
  <w:style w:type="table" w:customStyle="1" w:styleId="46">
    <w:name w:val="网格表 1 浅色1"/>
    <w:basedOn w:val="20"/>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47">
    <w:name w:val="日期 字符"/>
    <w:basedOn w:val="22"/>
    <w:semiHidden/>
    <w:qFormat/>
    <w:uiPriority w:val="99"/>
    <w:rPr>
      <w:rFonts w:ascii="@仿宋_GB2312" w:hAnsi="@仿宋_GB2312" w:eastAsia="@仿宋_GB2312" w:cs="@仿宋_GB2312"/>
      <w:szCs w:val="20"/>
    </w:rPr>
  </w:style>
  <w:style w:type="character" w:customStyle="1" w:styleId="48">
    <w:name w:val="日期 Char"/>
    <w:link w:val="11"/>
    <w:qFormat/>
    <w:uiPriority w:val="0"/>
    <w:rPr>
      <w:rFonts w:ascii="Arial" w:hAnsi="Arial" w:eastAsia="宋体" w:cs="Arial"/>
      <w:b/>
      <w:sz w:val="28"/>
      <w:szCs w:val="20"/>
    </w:rPr>
  </w:style>
  <w:style w:type="character" w:customStyle="1" w:styleId="49">
    <w:name w:val="纯文本 Char1"/>
    <w:link w:val="50"/>
    <w:qFormat/>
    <w:locked/>
    <w:uiPriority w:val="0"/>
    <w:rPr>
      <w:rFonts w:ascii="Arial" w:hAnsi="Arial" w:eastAsia="Arial"/>
      <w:kern w:val="2"/>
      <w:sz w:val="21"/>
      <w:lang w:val="en-US" w:eastAsia="zh-CN" w:bidi="ar-SA"/>
    </w:rPr>
  </w:style>
  <w:style w:type="paragraph" w:customStyle="1" w:styleId="50">
    <w:name w:val="纯文本1"/>
    <w:basedOn w:val="1"/>
    <w:link w:val="49"/>
    <w:qFormat/>
    <w:uiPriority w:val="0"/>
    <w:rPr>
      <w:rFonts w:ascii="Arial" w:hAnsi="Arial" w:eastAsia="Arial" w:cstheme="minorBidi"/>
    </w:rPr>
  </w:style>
  <w:style w:type="character" w:customStyle="1" w:styleId="51">
    <w:name w:val="批注文字 Char"/>
    <w:basedOn w:val="22"/>
    <w:semiHidden/>
    <w:qFormat/>
    <w:uiPriority w:val="99"/>
    <w:rPr>
      <w:rFonts w:ascii="@仿宋_GB2312" w:hAnsi="@仿宋_GB2312" w:eastAsia="@仿宋_GB2312" w:cs="@仿宋_GB2312"/>
      <w:szCs w:val="20"/>
    </w:rPr>
  </w:style>
  <w:style w:type="character" w:customStyle="1" w:styleId="52">
    <w:name w:val="批注文字 Char1"/>
    <w:link w:val="7"/>
    <w:qFormat/>
    <w:uiPriority w:val="0"/>
    <w:rPr>
      <w:rFonts w:ascii="Arial" w:hAnsi="Arial" w:eastAsia="黑体" w:cs="Arial"/>
      <w:szCs w:val="20"/>
    </w:rPr>
  </w:style>
  <w:style w:type="character" w:customStyle="1" w:styleId="53">
    <w:name w:val="标题 1 Char"/>
    <w:basedOn w:val="22"/>
    <w:link w:val="3"/>
    <w:qFormat/>
    <w:uiPriority w:val="9"/>
    <w:rPr>
      <w:rFonts w:ascii="@仿宋_GB2312" w:hAnsi="@仿宋_GB2312" w:eastAsia="@仿宋_GB2312" w:cs="@仿宋_GB2312"/>
      <w:b/>
      <w:bCs/>
      <w:kern w:val="44"/>
      <w:sz w:val="44"/>
      <w:szCs w:val="44"/>
    </w:rPr>
  </w:style>
  <w:style w:type="paragraph" w:customStyle="1" w:styleId="54">
    <w:name w:val="TOC 标题1"/>
    <w:basedOn w:val="3"/>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55">
    <w:name w:val="标题 3 Char"/>
    <w:basedOn w:val="22"/>
    <w:link w:val="2"/>
    <w:semiHidden/>
    <w:qFormat/>
    <w:uiPriority w:val="9"/>
    <w:rPr>
      <w:rFonts w:ascii="@仿宋_GB2312" w:hAnsi="@仿宋_GB2312" w:eastAsia="@仿宋_GB2312" w:cs="@仿宋_GB2312"/>
      <w:b/>
      <w:bCs/>
      <w:sz w:val="32"/>
      <w:szCs w:val="32"/>
    </w:rPr>
  </w:style>
  <w:style w:type="character" w:customStyle="1" w:styleId="56">
    <w:name w:val="fontstyle01"/>
    <w:basedOn w:val="22"/>
    <w:qFormat/>
    <w:uiPriority w:val="0"/>
    <w:rPr>
      <w:rFonts w:hint="eastAsia" w:ascii="宋体" w:hAnsi="宋体" w:eastAsia="宋体"/>
      <w:color w:val="000000"/>
      <w:sz w:val="22"/>
      <w:szCs w:val="22"/>
    </w:rPr>
  </w:style>
  <w:style w:type="character" w:customStyle="1" w:styleId="57">
    <w:name w:val="fontstyle21"/>
    <w:basedOn w:val="22"/>
    <w:qFormat/>
    <w:uiPriority w:val="0"/>
    <w:rPr>
      <w:rFonts w:hint="default" w:ascii="TimesNewRomanPSMT" w:hAnsi="TimesNewRomanPSMT"/>
      <w:color w:val="000000"/>
      <w:sz w:val="22"/>
      <w:szCs w:val="22"/>
    </w:rPr>
  </w:style>
  <w:style w:type="character" w:customStyle="1" w:styleId="58">
    <w:name w:val="正文文本 (2) + Sylfaen2"/>
    <w:qFormat/>
    <w:uiPriority w:val="99"/>
    <w:rPr>
      <w:rFonts w:ascii="Sylfaen" w:hAnsi="Sylfaen" w:eastAsia="MingLiU" w:cs="Sylfaen"/>
      <w:spacing w:val="0"/>
      <w:sz w:val="23"/>
      <w:szCs w:val="23"/>
      <w:shd w:val="clear" w:color="auto" w:fill="FFFFFF"/>
      <w:lang w:val="en-US" w:eastAsia="en-US"/>
    </w:rPr>
  </w:style>
  <w:style w:type="character" w:customStyle="1" w:styleId="59">
    <w:name w:val="标题 4 字符"/>
    <w:basedOn w:val="22"/>
    <w:semiHidden/>
    <w:qFormat/>
    <w:uiPriority w:val="9"/>
    <w:rPr>
      <w:rFonts w:asciiTheme="majorHAnsi" w:hAnsiTheme="majorHAnsi" w:eastAsiaTheme="majorEastAsia" w:cstheme="majorBidi"/>
      <w:b/>
      <w:bCs/>
      <w:sz w:val="28"/>
      <w:szCs w:val="28"/>
    </w:rPr>
  </w:style>
  <w:style w:type="character" w:customStyle="1" w:styleId="60">
    <w:name w:val="标题 4 Char"/>
    <w:link w:val="5"/>
    <w:qFormat/>
    <w:uiPriority w:val="0"/>
    <w:rPr>
      <w:rFonts w:ascii="@仿宋_GB2312" w:hAnsi="@仿宋_GB2312" w:eastAsia="@仿宋_GB2312" w:cs="@仿宋_GB2312"/>
      <w:b/>
      <w:bCs/>
      <w:sz w:val="28"/>
      <w:szCs w:val="28"/>
    </w:rPr>
  </w:style>
  <w:style w:type="character" w:customStyle="1" w:styleId="61">
    <w:name w:val="正文文本 Char"/>
    <w:basedOn w:val="22"/>
    <w:link w:val="8"/>
    <w:qFormat/>
    <w:uiPriority w:val="0"/>
    <w:rPr>
      <w:rFonts w:ascii="@微软简标宋" w:hAnsi="@微软简标宋" w:eastAsia="@微软简标宋" w:cs="@微软简标宋"/>
      <w:szCs w:val="24"/>
      <w:lang w:val="zh-CN" w:eastAsia="zh-CN"/>
    </w:rPr>
  </w:style>
  <w:style w:type="table" w:customStyle="1" w:styleId="62">
    <w:name w:val="网格型1"/>
    <w:basedOn w:val="20"/>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63">
    <w:name w:val="Table Normal"/>
    <w:semiHidden/>
    <w:unhideWhenUsed/>
    <w:qFormat/>
    <w:uiPriority w:val="0"/>
    <w:tblPr>
      <w:tblCellMar>
        <w:top w:w="0" w:type="dxa"/>
        <w:left w:w="0" w:type="dxa"/>
        <w:bottom w:w="0" w:type="dxa"/>
        <w:right w:w="0" w:type="dxa"/>
      </w:tblCellMar>
    </w:tblPr>
  </w:style>
  <w:style w:type="paragraph" w:customStyle="1" w:styleId="64">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5351A8-48F5-4B18-AF42-26053916CB99}">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60</Pages>
  <Words>24412</Words>
  <Characters>25400</Characters>
  <Lines>208</Lines>
  <Paragraphs>58</Paragraphs>
  <TotalTime>0</TotalTime>
  <ScaleCrop>false</ScaleCrop>
  <LinksUpToDate>false</LinksUpToDate>
  <CharactersWithSpaces>27742</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admin</cp:lastModifiedBy>
  <cp:lastPrinted>2019-12-07T15:20:00Z</cp:lastPrinted>
  <dcterms:modified xsi:type="dcterms:W3CDTF">2024-03-13T07:25:59Z</dcterms:modified>
  <cp:revision>443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589555CCFE1A454896F0D360573151F6_12</vt:lpwstr>
  </property>
</Properties>
</file>