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宋体" w:hAnsi="宋体" w:eastAsia="宋体"/>
          <w:b/>
          <w:bCs/>
          <w:color w:val="auto"/>
          <w:sz w:val="52"/>
          <w:szCs w:val="52"/>
          <w:highlight w:val="none"/>
          <w:lang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r>
        <w:rPr>
          <w:rFonts w:hint="eastAsia" w:ascii="宋体" w:hAnsi="宋体" w:eastAsia="宋体"/>
          <w:b/>
          <w:bCs/>
          <w:color w:val="auto"/>
          <w:sz w:val="52"/>
          <w:szCs w:val="52"/>
          <w:highlight w:val="none"/>
        </w:rPr>
        <w:t>竞争性谈判文件示范文本（货物类）</w:t>
      </w:r>
    </w:p>
    <w:bookmarkEnd w:id="0"/>
    <w:p>
      <w:pPr>
        <w:tabs>
          <w:tab w:val="left" w:pos="315"/>
          <w:tab w:val="left" w:pos="8820"/>
        </w:tabs>
        <w:spacing w:before="240" w:beforeLines="100" w:after="120" w:afterLines="50" w:line="500" w:lineRule="exact"/>
        <w:ind w:right="267" w:rightChars="127"/>
        <w:jc w:val="center"/>
        <w:rPr>
          <w:rFonts w:hint="eastAsia" w:ascii="宋体" w:hAnsi="宋体" w:eastAsia="宋体"/>
          <w:b/>
          <w:bCs w:val="0"/>
          <w:color w:val="auto"/>
          <w:sz w:val="44"/>
          <w:szCs w:val="44"/>
          <w:highlight w:val="none"/>
          <w:lang w:eastAsia="zh-CN"/>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2024版</w:t>
      </w:r>
      <w:r>
        <w:rPr>
          <w:rFonts w:hint="eastAsia" w:ascii="宋体" w:hAnsi="宋体" w:eastAsia="宋体"/>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宋体" w:hAnsi="宋体" w:eastAsia="宋体"/>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hint="eastAsia" w:ascii="宋体" w:hAnsi="宋体" w:eastAsia="宋体"/>
          <w:b/>
          <w:color w:val="auto"/>
          <w:sz w:val="36"/>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月</w:t>
      </w:r>
    </w:p>
    <w:p>
      <w:pPr>
        <w:spacing w:line="360" w:lineRule="auto"/>
        <w:jc w:val="center"/>
        <w:outlineLvl w:val="0"/>
        <w:rPr>
          <w:rFonts w:ascii="Times New Roman" w:hAnsi="Times New Roman" w:eastAsia="宋体" w:cs="Times New Roman"/>
          <w:b/>
          <w:sz w:val="36"/>
          <w:szCs w:val="36"/>
          <w:highlight w:val="none"/>
        </w:rPr>
      </w:pPr>
      <w:bookmarkStart w:id="1" w:name="_Toc18512"/>
      <w:bookmarkStart w:id="2" w:name="_Toc74227630"/>
      <w:bookmarkStart w:id="3" w:name="_Toc99301417"/>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0" w:firstLineChars="200"/>
        <w:jc w:val="left"/>
        <w:rPr>
          <w:rFonts w:hint="eastAsia"/>
          <w:lang w:val="en-US" w:eastAsia="zh-CN"/>
        </w:rPr>
      </w:pPr>
      <w:r>
        <w:rPr>
          <w:rFonts w:hint="eastAsia" w:ascii="Times New Roman" w:hAnsi="Times New Roman" w:eastAsia="宋体" w:cs="Times New Roman"/>
          <w:kern w:val="0"/>
          <w:sz w:val="24"/>
          <w:szCs w:val="24"/>
          <w:highlight w:val="none"/>
          <w:lang w:val="en-US" w:eastAsia="zh-CN"/>
        </w:rPr>
        <w:t>6.采购人在制定采购需求时应充分考虑世行营商环境指标中的性别平等指标，如市场准入、获得经营场所、市政设施接入、劳动力、获得金融服务、国际贸易、税收、市场竞争、化解商业纠纷等方面的性别平等。</w:t>
      </w:r>
      <w:bookmarkStart w:id="119" w:name="_GoBack"/>
      <w:bookmarkEnd w:id="119"/>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谈判小组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第二章中“供应商须知前附表”所列条款号与“供应商须知正文”的序号一一对应。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w:t>
      </w:r>
      <w:r>
        <w:rPr>
          <w:rFonts w:hint="eastAsia" w:ascii="Times New Roman" w:hAnsi="Times New Roman" w:eastAsia="宋体" w:cs="Times New Roman"/>
          <w:kern w:val="0"/>
          <w:sz w:val="24"/>
          <w:szCs w:val="24"/>
          <w:highlight w:val="none"/>
        </w:rPr>
        <w:t>修订完善《示范文本》并协同推进其规范运用。</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sectPr>
          <w:pgSz w:w="11907" w:h="16840"/>
          <w:pgMar w:top="1474" w:right="1814" w:bottom="1474" w:left="1814" w:header="851" w:footer="992" w:gutter="0"/>
          <w:cols w:space="720" w:num="1"/>
          <w:docGrid w:linePitch="462" w:charSpace="0"/>
        </w:sect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pStyle w:val="16"/>
        <w:tabs>
          <w:tab w:val="right" w:leader="dot" w:pos="8279"/>
        </w:tabs>
      </w:pPr>
      <w:r>
        <w:rPr>
          <w:rFonts w:asciiTheme="minorEastAsia" w:hAnsiTheme="minorEastAsia"/>
          <w:b/>
          <w:bCs/>
          <w:color w:val="auto"/>
          <w:sz w:val="24"/>
          <w:szCs w:val="24"/>
          <w:highlight w:val="none"/>
        </w:rPr>
        <w:fldChar w:fldCharType="begin"/>
      </w:r>
      <w:r>
        <w:rPr>
          <w:rFonts w:asciiTheme="minorEastAsia" w:hAnsiTheme="minorEastAsia"/>
          <w:b/>
          <w:bCs/>
          <w:color w:val="auto"/>
          <w:sz w:val="24"/>
          <w:szCs w:val="24"/>
          <w:highlight w:val="none"/>
        </w:rPr>
        <w:instrText xml:space="preserve"> </w:instrText>
      </w:r>
      <w:r>
        <w:rPr>
          <w:rFonts w:hint="eastAsia" w:asciiTheme="minorEastAsia" w:hAnsiTheme="minorEastAsia"/>
          <w:b/>
          <w:bCs/>
          <w:color w:val="auto"/>
          <w:sz w:val="24"/>
          <w:szCs w:val="24"/>
          <w:highlight w:val="none"/>
        </w:rPr>
        <w:instrText xml:space="preserve">TOC \o "1-2" \h \z \u</w:instrText>
      </w:r>
      <w:r>
        <w:rPr>
          <w:rFonts w:asciiTheme="minorEastAsia" w:hAnsiTheme="minorEastAsia"/>
          <w:b/>
          <w:bCs/>
          <w:color w:val="auto"/>
          <w:sz w:val="24"/>
          <w:szCs w:val="24"/>
          <w:highlight w:val="none"/>
        </w:rPr>
        <w:instrText xml:space="preserve"> </w:instrText>
      </w:r>
      <w:r>
        <w:rPr>
          <w:rFonts w:asciiTheme="minorEastAsia" w:hAnsiTheme="minorEastAsia"/>
          <w:b/>
          <w:bCs/>
          <w:color w:val="auto"/>
          <w:sz w:val="24"/>
          <w:szCs w:val="24"/>
          <w:highlight w:val="none"/>
        </w:rPr>
        <w:fldChar w:fldCharType="separate"/>
      </w: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_Toc14792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谈判邀请</w:t>
      </w:r>
      <w:r>
        <w:tab/>
      </w:r>
      <w:r>
        <w:fldChar w:fldCharType="begin"/>
      </w:r>
      <w:r>
        <w:instrText xml:space="preserve"> PAGEREF _Toc14792 \h </w:instrText>
      </w:r>
      <w:r>
        <w:fldChar w:fldCharType="separate"/>
      </w:r>
      <w:r>
        <w:t>1</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_Toc21898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_Toc21898 \h </w:instrText>
      </w:r>
      <w:r>
        <w:fldChar w:fldCharType="separate"/>
      </w:r>
      <w:r>
        <w:t>3</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_Toc25461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_Toc25461 \h </w:instrText>
      </w:r>
      <w:r>
        <w:fldChar w:fldCharType="separate"/>
      </w:r>
      <w:r>
        <w:t>15</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_Toc20811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第四章  评审方法和标准</w:t>
      </w:r>
      <w:r>
        <w:tab/>
      </w:r>
      <w:r>
        <w:fldChar w:fldCharType="begin"/>
      </w:r>
      <w:r>
        <w:instrText xml:space="preserve"> PAGEREF _Toc20811 \h </w:instrText>
      </w:r>
      <w:r>
        <w:fldChar w:fldCharType="separate"/>
      </w:r>
      <w:r>
        <w:t>17</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_Toc6738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_Toc6738 \h </w:instrText>
      </w:r>
      <w:r>
        <w:fldChar w:fldCharType="separate"/>
      </w:r>
      <w:r>
        <w:t>20</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_Toc24145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_Toc24145 \h </w:instrText>
      </w:r>
      <w:r>
        <w:fldChar w:fldCharType="separate"/>
      </w:r>
      <w:r>
        <w:t>29</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_Toc11034 </w:instrText>
      </w:r>
      <w:r>
        <w:rPr>
          <w:rFonts w:asciiTheme="minorEastAsia" w:hAnsiTheme="minorEastAsia"/>
          <w:bCs/>
          <w:szCs w:val="24"/>
          <w:highlight w:val="none"/>
        </w:rPr>
        <w:fldChar w:fldCharType="separate"/>
      </w:r>
      <w:r>
        <w:rPr>
          <w:rFonts w:hint="eastAsia" w:ascii="宋体" w:hAnsi="宋体" w:eastAsia="宋体"/>
          <w:bCs/>
          <w:highlight w:val="none"/>
        </w:rPr>
        <w:t>第</w:t>
      </w:r>
      <w:r>
        <w:rPr>
          <w:rFonts w:hint="eastAsia" w:ascii="宋体" w:hAnsi="宋体" w:eastAsia="宋体"/>
          <w:bCs/>
          <w:highlight w:val="none"/>
          <w:lang w:val="en-US" w:eastAsia="zh-CN"/>
        </w:rPr>
        <w:t>七</w:t>
      </w:r>
      <w:r>
        <w:rPr>
          <w:rFonts w:hint="eastAsia" w:ascii="宋体" w:hAnsi="宋体" w:eastAsia="宋体"/>
          <w:bCs/>
          <w:highlight w:val="none"/>
        </w:rPr>
        <w:t>章</w:t>
      </w:r>
      <w:r>
        <w:rPr>
          <w:rFonts w:hint="eastAsia"/>
          <w:bCs/>
          <w:highlight w:val="none"/>
        </w:rPr>
        <w:t xml:space="preserve">  </w:t>
      </w:r>
      <w:r>
        <w:rPr>
          <w:rFonts w:hint="eastAsia" w:ascii="宋体" w:hAnsi="宋体" w:eastAsia="宋体"/>
          <w:bCs/>
          <w:highlight w:val="none"/>
        </w:rPr>
        <w:t>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_Toc11034 \h </w:instrText>
      </w:r>
      <w:r>
        <w:fldChar w:fldCharType="separate"/>
      </w:r>
      <w:r>
        <w:t>47</w:t>
      </w:r>
      <w:r>
        <w:fldChar w:fldCharType="end"/>
      </w:r>
      <w:r>
        <w:rPr>
          <w:rFonts w:asciiTheme="minorEastAsia" w:hAnsiTheme="minorEastAsia"/>
          <w:bCs/>
          <w:color w:val="auto"/>
          <w:szCs w:val="24"/>
          <w:highlight w:val="none"/>
        </w:rPr>
        <w:fldChar w:fldCharType="end"/>
      </w:r>
    </w:p>
    <w:p>
      <w:pPr>
        <w:pStyle w:val="17"/>
        <w:tabs>
          <w:tab w:val="right" w:leader="dot" w:pos="8296"/>
        </w:tabs>
        <w:rPr>
          <w:color w:val="auto"/>
          <w:highlight w:val="none"/>
        </w:rPr>
      </w:pPr>
      <w:r>
        <w:rPr>
          <w:rFonts w:asciiTheme="minorEastAsia" w:hAnsiTheme="minorEastAsia"/>
          <w:bCs/>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pgSz w:w="11907" w:h="16840"/>
          <w:pgMar w:top="1474" w:right="1814" w:bottom="1474" w:left="1814" w:header="851" w:footer="992"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14792"/>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谈判邀请</w:t>
      </w:r>
      <w:bookmarkEnd w:id="4"/>
    </w:p>
    <w:p>
      <w:pPr>
        <w:spacing w:line="360" w:lineRule="auto"/>
        <w:ind w:firstLine="435"/>
        <w:outlineLvl w:val="1"/>
        <w:rPr>
          <w:rFonts w:ascii="宋体" w:hAnsi="宋体" w:eastAsia="宋体"/>
          <w:b/>
          <w:bCs/>
          <w:color w:val="auto"/>
          <w:sz w:val="24"/>
          <w:szCs w:val="18"/>
          <w:highlight w:val="none"/>
        </w:rPr>
      </w:pPr>
      <w:bookmarkStart w:id="5" w:name="_Toc18458"/>
      <w:bookmarkStart w:id="6" w:name="_Toc31120"/>
      <w:r>
        <w:rPr>
          <w:rFonts w:hint="eastAsia" w:ascii="宋体" w:hAnsi="宋体" w:eastAsia="宋体"/>
          <w:b/>
          <w:bCs/>
          <w:color w:val="auto"/>
          <w:sz w:val="24"/>
          <w:szCs w:val="18"/>
          <w:highlight w:val="none"/>
        </w:rPr>
        <w:t>一、项目名称及内容</w:t>
      </w:r>
      <w:bookmarkEnd w:id="5"/>
      <w:bookmarkEnd w:id="6"/>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autoSpaceDE w:val="0"/>
        <w:autoSpaceDN w:val="0"/>
        <w:adjustRightInd w:val="0"/>
        <w:spacing w:line="360" w:lineRule="auto"/>
        <w:ind w:firstLine="436" w:firstLineChars="182"/>
        <w:jc w:val="left"/>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如有</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autoSpaceDE w:val="0"/>
        <w:autoSpaceDN w:val="0"/>
        <w:adjustRightInd w:val="0"/>
        <w:spacing w:line="360" w:lineRule="auto"/>
        <w:ind w:firstLine="436" w:firstLineChars="182"/>
        <w:jc w:val="left"/>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7.本项目（是/否）接受联合体。</w:t>
      </w:r>
    </w:p>
    <w:p>
      <w:pPr>
        <w:spacing w:line="360" w:lineRule="auto"/>
        <w:ind w:firstLine="435"/>
        <w:outlineLvl w:val="1"/>
        <w:rPr>
          <w:rFonts w:ascii="宋体" w:hAnsi="宋体" w:eastAsia="宋体"/>
          <w:b/>
          <w:bCs/>
          <w:color w:val="auto"/>
          <w:sz w:val="24"/>
          <w:szCs w:val="18"/>
          <w:highlight w:val="none"/>
        </w:rPr>
      </w:pPr>
      <w:bookmarkStart w:id="7" w:name="_Toc26738"/>
      <w:bookmarkStart w:id="8" w:name="_Toc25828"/>
      <w:r>
        <w:rPr>
          <w:rFonts w:hint="eastAsia" w:ascii="宋体" w:hAnsi="宋体" w:eastAsia="宋体"/>
          <w:b/>
          <w:bCs/>
          <w:color w:val="auto"/>
          <w:sz w:val="24"/>
          <w:szCs w:val="18"/>
          <w:highlight w:val="none"/>
        </w:rPr>
        <w:t>二</w:t>
      </w:r>
      <w:r>
        <w:rPr>
          <w:rFonts w:hint="eastAsia" w:asciiTheme="minorEastAsia" w:hAnsiTheme="minorEastAsia" w:eastAsiaTheme="minorEastAsia"/>
          <w:b/>
          <w:color w:val="auto"/>
          <w:sz w:val="24"/>
          <w:highlight w:val="none"/>
        </w:rPr>
        <w:t>、</w:t>
      </w:r>
      <w:bookmarkEnd w:id="7"/>
      <w:r>
        <w:rPr>
          <w:rFonts w:hint="eastAsia" w:ascii="宋体" w:hAnsi="宋体" w:eastAsia="宋体"/>
          <w:b/>
          <w:bCs/>
          <w:color w:val="auto"/>
          <w:sz w:val="24"/>
          <w:szCs w:val="18"/>
          <w:highlight w:val="none"/>
        </w:rPr>
        <w:t>申请人的资格要求</w:t>
      </w:r>
      <w:bookmarkEnd w:id="8"/>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spacing w:line="360" w:lineRule="auto"/>
        <w:ind w:firstLine="435"/>
        <w:outlineLvl w:val="9"/>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2.1中小企业政策</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2.1.1□本项目不专门面向中小企业预留采购份额。</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2.1.2□本项目专门面向</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采购。（</w:t>
      </w:r>
      <w:r>
        <w:rPr>
          <w:rFonts w:hint="eastAsia" w:asciiTheme="minorEastAsia" w:hAnsiTheme="minorEastAsia" w:eastAsiaTheme="minorEastAsia"/>
          <w:i/>
          <w:iCs/>
          <w:color w:val="auto"/>
          <w:sz w:val="24"/>
          <w:highlight w:val="none"/>
          <w:lang w:val="en-US" w:eastAsia="zh-CN"/>
        </w:rPr>
        <w:t>由采购人根据项目专门面向中小企业采购情形填写</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2.1.3□本项目预留部分采购项目预算专门面向中小企业采购。对于预留份额，提供的货物由符合政策要求的中小企业制造。预留份额通过以下措施进行：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1"/>
        <w:rPr>
          <w:rFonts w:ascii="宋体" w:hAnsi="宋体" w:eastAsia="宋体"/>
          <w:b/>
          <w:bCs/>
          <w:color w:val="auto"/>
          <w:sz w:val="24"/>
          <w:szCs w:val="18"/>
          <w:highlight w:val="none"/>
        </w:rPr>
      </w:pPr>
      <w:bookmarkStart w:id="9" w:name="_Toc20109"/>
      <w:bookmarkStart w:id="10" w:name="_Toc10106"/>
      <w:r>
        <w:rPr>
          <w:rFonts w:hint="eastAsia" w:ascii="宋体" w:hAnsi="宋体" w:eastAsia="宋体"/>
          <w:b/>
          <w:bCs/>
          <w:color w:val="auto"/>
          <w:sz w:val="24"/>
          <w:szCs w:val="18"/>
          <w:highlight w:val="none"/>
        </w:rPr>
        <w:t>三</w:t>
      </w:r>
      <w:r>
        <w:rPr>
          <w:rFonts w:hint="eastAsia" w:asciiTheme="minorEastAsia" w:hAnsiTheme="minorEastAsia" w:eastAsiaTheme="minorEastAsia"/>
          <w:b/>
          <w:color w:val="auto"/>
          <w:sz w:val="24"/>
          <w:highlight w:val="none"/>
        </w:rPr>
        <w:t>、</w:t>
      </w:r>
      <w:bookmarkEnd w:id="9"/>
      <w:r>
        <w:rPr>
          <w:rFonts w:hint="eastAsia" w:asciiTheme="minorEastAsia" w:hAnsiTheme="minorEastAsia" w:eastAsiaTheme="minorEastAsia"/>
          <w:b/>
          <w:color w:val="auto"/>
          <w:sz w:val="24"/>
          <w:highlight w:val="none"/>
        </w:rPr>
        <w:t>获取采购文件</w:t>
      </w:r>
      <w:bookmarkEnd w:id="10"/>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i/>
          <w:iCs/>
          <w:sz w:val="24"/>
          <w:szCs w:val="24"/>
        </w:rPr>
      </w:pPr>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ascii="宋体" w:hAnsi="宋体" w:eastAsia="宋体"/>
          <w:b/>
          <w:bCs/>
          <w:color w:val="auto"/>
          <w:sz w:val="24"/>
          <w:szCs w:val="18"/>
          <w:highlight w:val="none"/>
        </w:rPr>
      </w:pPr>
      <w:bookmarkStart w:id="11" w:name="_Toc19753"/>
      <w:bookmarkStart w:id="12" w:name="_Toc1095"/>
      <w:r>
        <w:rPr>
          <w:rFonts w:hint="eastAsia" w:ascii="宋体" w:hAnsi="宋体" w:eastAsia="宋体"/>
          <w:b/>
          <w:bCs/>
          <w:color w:val="auto"/>
          <w:sz w:val="24"/>
          <w:szCs w:val="18"/>
          <w:highlight w:val="none"/>
        </w:rPr>
        <w:t>四</w:t>
      </w:r>
      <w:r>
        <w:rPr>
          <w:rFonts w:hint="eastAsia" w:asciiTheme="minorEastAsia" w:hAnsiTheme="minorEastAsia" w:eastAsiaTheme="minorEastAsia"/>
          <w:b/>
          <w:color w:val="auto"/>
          <w:sz w:val="24"/>
          <w:highlight w:val="none"/>
        </w:rPr>
        <w:t>、</w:t>
      </w:r>
      <w:bookmarkEnd w:id="11"/>
      <w:r>
        <w:rPr>
          <w:rFonts w:hint="eastAsia" w:ascii="宋体" w:hAnsi="宋体" w:eastAsia="宋体"/>
          <w:b/>
          <w:bCs/>
          <w:color w:val="auto"/>
          <w:sz w:val="24"/>
          <w:highlight w:val="none"/>
        </w:rPr>
        <w:t>响应文件提交</w:t>
      </w:r>
      <w:bookmarkEnd w:id="1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none"/>
        </w:rPr>
      </w:pPr>
      <w:r>
        <w:rPr>
          <w:rFonts w:hint="eastAsia" w:asciiTheme="minorEastAsia" w:hAnsiTheme="minorEastAsia" w:eastAsiaTheme="minorEastAsia" w:cstheme="minorEastAsia"/>
          <w:bCs/>
          <w:sz w:val="24"/>
          <w:szCs w:val="24"/>
          <w:u w:val="none"/>
        </w:rPr>
        <w:t>截止时间：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从谈判文件开始发出之日起至供应商提交首次响应文件截止之日止不得少于3个工作日</w:t>
      </w:r>
      <w:r>
        <w:rPr>
          <w:rFonts w:hint="eastAsia" w:asciiTheme="minorEastAsia" w:hAnsiTheme="minorEastAsia" w:eastAsiaTheme="minorEastAsia" w:cstheme="minorEastAsia"/>
          <w:iCs/>
          <w:sz w:val="24"/>
          <w:szCs w:val="24"/>
          <w:u w:val="none"/>
        </w:rPr>
        <w:t>）</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ascii="宋体" w:hAnsi="宋体" w:eastAsia="宋体"/>
          <w:b/>
          <w:bCs/>
          <w:color w:val="auto"/>
          <w:sz w:val="24"/>
          <w:szCs w:val="18"/>
          <w:highlight w:val="none"/>
        </w:rPr>
      </w:pPr>
      <w:bookmarkStart w:id="13" w:name="_Toc8953"/>
      <w:bookmarkStart w:id="14" w:name="_Toc29151"/>
      <w:r>
        <w:rPr>
          <w:rFonts w:hint="eastAsia" w:ascii="宋体" w:hAnsi="宋体" w:eastAsia="宋体"/>
          <w:b/>
          <w:bCs/>
          <w:color w:val="auto"/>
          <w:sz w:val="24"/>
          <w:szCs w:val="18"/>
          <w:highlight w:val="none"/>
        </w:rPr>
        <w:t>五</w:t>
      </w:r>
      <w:r>
        <w:rPr>
          <w:rFonts w:hint="eastAsia" w:asciiTheme="minorEastAsia" w:hAnsiTheme="minorEastAsia" w:eastAsiaTheme="minorEastAsia"/>
          <w:b/>
          <w:color w:val="auto"/>
          <w:sz w:val="24"/>
          <w:highlight w:val="none"/>
        </w:rPr>
        <w:t>、</w:t>
      </w:r>
      <w:bookmarkEnd w:id="13"/>
      <w:r>
        <w:rPr>
          <w:rFonts w:hint="eastAsia" w:ascii="宋体" w:hAnsi="宋体" w:eastAsia="宋体"/>
          <w:b/>
          <w:bCs/>
          <w:color w:val="auto"/>
          <w:sz w:val="24"/>
          <w:highlight w:val="none"/>
        </w:rPr>
        <w:t>开启</w:t>
      </w:r>
      <w:bookmarkEnd w:id="14"/>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u w:val="none"/>
        </w:rPr>
        <w:t>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olor w:val="auto"/>
          <w:sz w:val="24"/>
          <w:szCs w:val="18"/>
          <w:highlight w:val="non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5" w:name="_Toc2060"/>
      <w:bookmarkStart w:id="16" w:name="_Toc16203"/>
      <w:r>
        <w:rPr>
          <w:rFonts w:hint="eastAsia" w:ascii="宋体" w:hAnsi="宋体" w:eastAsia="宋体"/>
          <w:b/>
          <w:bCs/>
          <w:color w:val="auto"/>
          <w:sz w:val="24"/>
          <w:szCs w:val="18"/>
          <w:highlight w:val="none"/>
          <w:lang w:val="en-US" w:eastAsia="zh-CN"/>
        </w:rPr>
        <w:t>六</w:t>
      </w:r>
      <w:r>
        <w:rPr>
          <w:rFonts w:hint="eastAsia" w:ascii="宋体" w:hAnsi="宋体" w:eastAsia="宋体"/>
          <w:b/>
          <w:bCs/>
          <w:color w:val="auto"/>
          <w:sz w:val="24"/>
          <w:szCs w:val="18"/>
          <w:highlight w:val="none"/>
        </w:rPr>
        <w:t>、公告期限</w:t>
      </w:r>
      <w:bookmarkEnd w:id="15"/>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u w:val="none"/>
        </w:rPr>
      </w:pPr>
      <w:r>
        <w:rPr>
          <w:rFonts w:hint="eastAsia" w:asciiTheme="minorEastAsia" w:hAnsiTheme="minorEastAsia" w:eastAsiaTheme="minorEastAsia" w:cstheme="minorEastAsia"/>
          <w:bCs/>
          <w:sz w:val="24"/>
          <w:szCs w:val="24"/>
          <w:u w:val="none"/>
        </w:rPr>
        <w:t>自本公告发布之日起3个工作日。</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7" w:name="_Toc35393795"/>
      <w:bookmarkStart w:id="18" w:name="_Toc10195"/>
      <w:bookmarkStart w:id="19" w:name="_Toc35393626"/>
      <w:r>
        <w:rPr>
          <w:rFonts w:hint="eastAsia" w:ascii="宋体" w:hAnsi="宋体" w:eastAsia="宋体"/>
          <w:b/>
          <w:bCs/>
          <w:color w:val="auto"/>
          <w:sz w:val="24"/>
          <w:szCs w:val="18"/>
          <w:highlight w:val="none"/>
          <w:lang w:val="en-US" w:eastAsia="zh-CN"/>
        </w:rPr>
        <w:t>七</w:t>
      </w:r>
      <w:r>
        <w:rPr>
          <w:rFonts w:hint="eastAsia" w:ascii="宋体" w:hAnsi="宋体" w:eastAsia="宋体"/>
          <w:b/>
          <w:bCs/>
          <w:color w:val="auto"/>
          <w:sz w:val="24"/>
          <w:szCs w:val="18"/>
          <w:highlight w:val="none"/>
        </w:rPr>
        <w:t>、其他补充事宜</w:t>
      </w:r>
      <w:bookmarkEnd w:id="17"/>
      <w:bookmarkEnd w:id="18"/>
      <w:bookmarkEnd w:id="1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b w:val="0"/>
          <w:bCs w:val="0"/>
          <w:color w:val="auto"/>
          <w:sz w:val="24"/>
          <w:szCs w:val="18"/>
          <w:highlight w:val="none"/>
          <w:lang w:val="en-US" w:eastAsia="zh-CN"/>
        </w:rPr>
      </w:pPr>
      <w:r>
        <w:rPr>
          <w:rFonts w:hint="eastAsia" w:ascii="宋体" w:hAnsi="宋体" w:eastAsia="宋体"/>
          <w:b w:val="0"/>
          <w:bCs w:val="0"/>
          <w:color w:val="auto"/>
          <w:sz w:val="24"/>
          <w:szCs w:val="18"/>
          <w:highlight w:val="none"/>
          <w:lang w:val="en-US" w:eastAsia="zh-CN"/>
        </w:rPr>
        <w:t>2.</w:t>
      </w:r>
      <w:r>
        <w:rPr>
          <w:rFonts w:hint="eastAsia" w:ascii="宋体" w:hAnsi="宋体" w:eastAsia="宋体"/>
          <w:b w:val="0"/>
          <w:bCs w:val="0"/>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outlineLvl w:val="1"/>
        <w:rPr>
          <w:rFonts w:ascii="宋体" w:hAnsi="宋体" w:eastAsia="宋体"/>
          <w:b/>
          <w:bCs/>
          <w:color w:val="auto"/>
          <w:sz w:val="24"/>
          <w:szCs w:val="18"/>
          <w:highlight w:val="none"/>
        </w:rPr>
      </w:pPr>
      <w:bookmarkStart w:id="20" w:name="_Toc25606"/>
      <w:r>
        <w:rPr>
          <w:rFonts w:hint="eastAsia" w:ascii="宋体" w:hAnsi="宋体" w:eastAsia="宋体"/>
          <w:b/>
          <w:bCs/>
          <w:color w:val="auto"/>
          <w:sz w:val="24"/>
          <w:szCs w:val="18"/>
          <w:highlight w:val="none"/>
          <w:lang w:val="en-US" w:eastAsia="zh-CN"/>
        </w:rPr>
        <w:t>八</w:t>
      </w:r>
      <w:r>
        <w:rPr>
          <w:rFonts w:hint="eastAsia" w:asciiTheme="minorEastAsia" w:hAnsiTheme="minorEastAsia" w:eastAsiaTheme="minorEastAsia"/>
          <w:b/>
          <w:color w:val="auto"/>
          <w:sz w:val="24"/>
          <w:highlight w:val="none"/>
        </w:rPr>
        <w:t>、</w:t>
      </w:r>
      <w:bookmarkEnd w:id="16"/>
      <w:r>
        <w:rPr>
          <w:rFonts w:hint="eastAsia" w:ascii="宋体" w:hAnsi="宋体" w:eastAsia="宋体"/>
          <w:b/>
          <w:bCs/>
          <w:color w:val="auto"/>
          <w:sz w:val="24"/>
          <w:szCs w:val="18"/>
          <w:highlight w:val="none"/>
        </w:rPr>
        <w:t>凡对本次采购提出询问，请按以下方式联系</w:t>
      </w:r>
      <w:bookmarkEnd w:id="20"/>
    </w:p>
    <w:p>
      <w:pPr>
        <w:spacing w:line="360" w:lineRule="auto"/>
        <w:ind w:firstLine="435"/>
        <w:outlineLvl w:val="2"/>
        <w:rPr>
          <w:rFonts w:ascii="宋体" w:hAnsi="宋体" w:eastAsia="宋体"/>
          <w:color w:val="auto"/>
          <w:sz w:val="24"/>
          <w:szCs w:val="18"/>
          <w:highlight w:val="none"/>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ascii="宋体" w:hAnsi="宋体" w:eastAsia="宋体"/>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1" w:name="_Toc21898"/>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21"/>
    </w:p>
    <w:p>
      <w:pPr>
        <w:spacing w:line="360" w:lineRule="auto"/>
        <w:jc w:val="center"/>
        <w:outlineLvl w:val="1"/>
        <w:rPr>
          <w:rFonts w:asciiTheme="minorEastAsia" w:hAnsiTheme="minorEastAsia" w:eastAsiaTheme="minorEastAsia"/>
          <w:b/>
          <w:color w:val="auto"/>
          <w:sz w:val="24"/>
          <w:highlight w:val="none"/>
        </w:rPr>
      </w:pPr>
      <w:bookmarkStart w:id="22" w:name="_Toc28122"/>
      <w:bookmarkStart w:id="23" w:name="_Toc25752"/>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22"/>
      <w:bookmarkEnd w:id="23"/>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本表是本项目的具体要求，是对供应商须知的具体补充和修改，如有不一致，以本表为准。</w:t>
      </w:r>
    </w:p>
    <w:tbl>
      <w:tblPr>
        <w:tblStyle w:val="21"/>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2032"/>
        <w:gridCol w:w="5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8"/>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条款号</w:t>
            </w:r>
          </w:p>
        </w:tc>
        <w:tc>
          <w:tcPr>
            <w:tcW w:w="1160" w:type="pct"/>
            <w:vAlign w:val="center"/>
          </w:tcPr>
          <w:p>
            <w:pPr>
              <w:pStyle w:val="28"/>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67" w:type="pct"/>
            <w:vAlign w:val="center"/>
          </w:tcPr>
          <w:p>
            <w:pPr>
              <w:pStyle w:val="28"/>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98" w:type="dxa"/>
            <w:vAlign w:val="center"/>
          </w:tcPr>
          <w:p>
            <w:pPr>
              <w:pStyle w:val="29"/>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2228" w:type="dxa"/>
            <w:vAlign w:val="center"/>
          </w:tcPr>
          <w:p>
            <w:pPr>
              <w:pStyle w:val="28"/>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现场考察</w:t>
            </w:r>
            <w:r>
              <w:rPr>
                <w:rFonts w:hint="eastAsia" w:ascii="宋体" w:hAnsi="宋体" w:eastAsia="宋体"/>
                <w:b w:val="0"/>
                <w:color w:val="auto"/>
                <w:sz w:val="24"/>
                <w:highlight w:val="none"/>
                <w:lang w:val="en-US" w:eastAsia="zh-CN"/>
              </w:rPr>
              <w:t>或标前答疑会</w:t>
            </w:r>
          </w:p>
        </w:tc>
        <w:tc>
          <w:tcPr>
            <w:tcW w:w="6275" w:type="dxa"/>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w:t>
            </w:r>
            <w:r>
              <w:rPr>
                <w:rFonts w:hint="eastAsia" w:ascii="宋体" w:hAnsi="宋体" w:eastAsia="宋体"/>
                <w:color w:val="auto"/>
                <w:sz w:val="24"/>
                <w:highlight w:val="none"/>
                <w:lang w:val="en-US" w:eastAsia="zh-CN"/>
              </w:rPr>
              <w:t>或不召开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bCs/>
                <w:color w:val="auto"/>
                <w:sz w:val="24"/>
                <w:highlight w:val="none"/>
                <w:lang w:eastAsia="zh-CN"/>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r>
              <w:rPr>
                <w:rFonts w:hint="eastAsia" w:ascii="宋体" w:hAnsi="宋体" w:eastAsia="宋体"/>
                <w:bCs/>
                <w:color w:val="auto"/>
                <w:sz w:val="24"/>
                <w:highlight w:val="none"/>
                <w:lang w:val="en-US" w:eastAsia="zh-CN"/>
              </w:rPr>
              <w:t>或统一召开</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hint="default"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6.1</w:t>
            </w:r>
          </w:p>
        </w:tc>
        <w:tc>
          <w:tcPr>
            <w:tcW w:w="1160" w:type="pct"/>
            <w:vAlign w:val="center"/>
          </w:tcPr>
          <w:p>
            <w:pPr>
              <w:pStyle w:val="28"/>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67" w:type="pct"/>
            <w:vAlign w:val="center"/>
          </w:tcPr>
          <w:p>
            <w:pPr>
              <w:pStyle w:val="28"/>
              <w:widowControl w:val="0"/>
              <w:spacing w:before="0" w:beforeAutospacing="0" w:after="0" w:afterAutospacing="0"/>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7</w:t>
            </w:r>
            <w:r>
              <w:rPr>
                <w:rFonts w:ascii="宋体" w:hAnsi="宋体" w:eastAsia="宋体"/>
                <w:bCs/>
                <w:color w:val="auto"/>
                <w:kern w:val="2"/>
                <w:highlight w:val="none"/>
              </w:rPr>
              <w:t>.1</w:t>
            </w:r>
          </w:p>
        </w:tc>
        <w:tc>
          <w:tcPr>
            <w:tcW w:w="1160" w:type="pct"/>
            <w:vAlign w:val="center"/>
          </w:tcPr>
          <w:p>
            <w:pPr>
              <w:pStyle w:val="28"/>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rPr>
              <w:t>供应商参加多个包</w:t>
            </w:r>
            <w:r>
              <w:rPr>
                <w:rFonts w:hint="eastAsia" w:ascii="宋体" w:hAnsi="宋体" w:eastAsia="宋体"/>
                <w:b w:val="0"/>
                <w:color w:val="auto"/>
                <w:sz w:val="24"/>
                <w:highlight w:val="none"/>
              </w:rPr>
              <w:t>谈判</w:t>
            </w:r>
            <w:r>
              <w:rPr>
                <w:rFonts w:hint="eastAsia" w:ascii="宋体" w:hAnsi="宋体" w:eastAsia="宋体"/>
                <w:b w:val="0"/>
                <w:bCs w:val="0"/>
                <w:color w:val="auto"/>
                <w:sz w:val="24"/>
                <w:szCs w:val="24"/>
                <w:highlight w:val="none"/>
              </w:rPr>
              <w:t>的成交</w:t>
            </w:r>
            <w:r>
              <w:rPr>
                <w:rFonts w:ascii="宋体" w:hAnsi="宋体" w:eastAsia="宋体"/>
                <w:b w:val="0"/>
                <w:bCs w:val="0"/>
                <w:color w:val="auto"/>
                <w:sz w:val="24"/>
                <w:szCs w:val="24"/>
                <w:highlight w:val="none"/>
              </w:rPr>
              <w:t>包</w:t>
            </w:r>
            <w:r>
              <w:rPr>
                <w:rFonts w:hint="eastAsia" w:ascii="宋体" w:hAnsi="宋体" w:eastAsia="宋体"/>
                <w:b w:val="0"/>
                <w:bCs w:val="0"/>
                <w:color w:val="auto"/>
                <w:sz w:val="24"/>
                <w:szCs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10</w:t>
            </w:r>
            <w:r>
              <w:rPr>
                <w:rFonts w:ascii="宋体" w:hAnsi="宋体" w:eastAsia="宋体"/>
                <w:bCs/>
                <w:color w:val="auto"/>
                <w:kern w:val="2"/>
                <w:highlight w:val="none"/>
              </w:rPr>
              <w:t>.1</w:t>
            </w:r>
          </w:p>
        </w:tc>
        <w:tc>
          <w:tcPr>
            <w:tcW w:w="1160" w:type="pct"/>
            <w:vAlign w:val="center"/>
          </w:tcPr>
          <w:p>
            <w:pPr>
              <w:pStyle w:val="28"/>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谈判保证金</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11</w:t>
            </w:r>
            <w:r>
              <w:rPr>
                <w:rFonts w:ascii="宋体" w:hAnsi="宋体" w:eastAsia="宋体"/>
                <w:bCs/>
                <w:color w:val="auto"/>
                <w:kern w:val="2"/>
                <w:highlight w:val="none"/>
              </w:rPr>
              <w:t>.1</w:t>
            </w:r>
          </w:p>
        </w:tc>
        <w:tc>
          <w:tcPr>
            <w:tcW w:w="1160"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谈判有效期</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p>
        </w:tc>
        <w:tc>
          <w:tcPr>
            <w:tcW w:w="1160"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响应文件解密时间</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none"/>
              </w:rPr>
              <w:t>响应文件提交截止时间后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14</w:t>
            </w:r>
            <w:r>
              <w:rPr>
                <w:rFonts w:hint="eastAsia" w:ascii="宋体" w:hAnsi="宋体" w:eastAsia="宋体"/>
                <w:bCs/>
                <w:color w:val="auto"/>
                <w:kern w:val="2"/>
                <w:highlight w:val="none"/>
              </w:rPr>
              <w:t>.3</w:t>
            </w:r>
          </w:p>
        </w:tc>
        <w:tc>
          <w:tcPr>
            <w:tcW w:w="1160"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评审方法</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none"/>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w:t>
            </w:r>
            <w:r>
              <w:rPr>
                <w:rFonts w:hint="eastAsia" w:ascii="宋体" w:hAnsi="宋体" w:eastAsia="宋体"/>
                <w:bCs/>
                <w:color w:val="auto"/>
                <w:kern w:val="2"/>
                <w:highlight w:val="none"/>
              </w:rPr>
              <w:t>4</w:t>
            </w:r>
          </w:p>
        </w:tc>
        <w:tc>
          <w:tcPr>
            <w:tcW w:w="1160"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最后报价扣除</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i/>
                <w:color w:val="auto"/>
                <w:sz w:val="24"/>
                <w:highlight w:val="none"/>
              </w:rPr>
              <w:t>（非专门面向中小企业采购项目适用）</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single"/>
              </w:rPr>
              <w:t>同</w:t>
            </w:r>
            <w:r>
              <w:rPr>
                <w:rFonts w:ascii="宋体" w:hAnsi="宋体" w:eastAsia="宋体"/>
                <w:b w:val="0"/>
                <w:color w:val="auto"/>
                <w:sz w:val="24"/>
                <w:highlight w:val="none"/>
                <w:u w:val="single"/>
              </w:rPr>
              <w:t>小型和微型企业</w:t>
            </w:r>
            <w:r>
              <w:rPr>
                <w:rFonts w:hint="eastAsia" w:ascii="宋体" w:hAnsi="宋体" w:eastAsia="宋体"/>
                <w:b w:val="0"/>
                <w:color w:val="auto"/>
                <w:sz w:val="24"/>
                <w:highlight w:val="none"/>
              </w:rPr>
              <w:t>。</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single"/>
              </w:rPr>
              <w:t>同</w:t>
            </w:r>
            <w:r>
              <w:rPr>
                <w:rFonts w:ascii="宋体" w:hAnsi="宋体" w:eastAsia="宋体"/>
                <w:b w:val="0"/>
                <w:color w:val="auto"/>
                <w:sz w:val="24"/>
                <w:highlight w:val="none"/>
                <w:u w:val="single"/>
              </w:rPr>
              <w:t>小型和微型企业</w:t>
            </w:r>
            <w:r>
              <w:rPr>
                <w:rFonts w:hint="eastAsia" w:ascii="宋体" w:hAnsi="宋体" w:eastAsia="宋体"/>
                <w:b w:val="0"/>
                <w:color w:val="auto"/>
                <w:sz w:val="24"/>
                <w:highlight w:val="none"/>
              </w:rPr>
              <w:t>。</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restar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19</w:t>
            </w:r>
            <w:r>
              <w:rPr>
                <w:rFonts w:ascii="宋体" w:hAnsi="宋体" w:eastAsia="宋体"/>
                <w:bCs/>
                <w:color w:val="auto"/>
                <w:kern w:val="2"/>
                <w:highlight w:val="none"/>
              </w:rPr>
              <w:t>.</w:t>
            </w:r>
            <w:r>
              <w:rPr>
                <w:rFonts w:hint="eastAsia" w:ascii="宋体" w:hAnsi="宋体" w:eastAsia="宋体"/>
                <w:bCs/>
                <w:color w:val="auto"/>
                <w:kern w:val="2"/>
                <w:highlight w:val="none"/>
              </w:rPr>
              <w:t>1</w:t>
            </w:r>
          </w:p>
        </w:tc>
        <w:tc>
          <w:tcPr>
            <w:tcW w:w="1160" w:type="pct"/>
            <w:vMerge w:val="restar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确定成交候选人和成交供应商</w:t>
            </w:r>
          </w:p>
        </w:tc>
        <w:tc>
          <w:tcPr>
            <w:tcW w:w="3267" w:type="pct"/>
            <w:vAlign w:val="center"/>
          </w:tcPr>
          <w:p>
            <w:pPr>
              <w:pStyle w:val="28"/>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rPr>
              <w:t>谈判小组推荐成交候选人的</w:t>
            </w:r>
            <w:r>
              <w:rPr>
                <w:rFonts w:ascii="宋体" w:hAnsi="宋体" w:eastAsia="宋体"/>
                <w:b w:val="0"/>
                <w:color w:val="auto"/>
                <w:sz w:val="24"/>
                <w:highlight w:val="none"/>
              </w:rPr>
              <w:t>数量</w:t>
            </w:r>
            <w:r>
              <w:rPr>
                <w:rFonts w:hint="eastAsia" w:ascii="宋体" w:hAnsi="宋体" w:eastAsia="宋体"/>
                <w:b w:val="0"/>
                <w:color w:val="auto"/>
                <w:sz w:val="24"/>
                <w:highlight w:val="none"/>
              </w:rPr>
              <w:t>：3家</w:t>
            </w:r>
            <w:r>
              <w:rPr>
                <w:rFonts w:hint="eastAsia" w:ascii="宋体" w:hAnsi="宋体" w:eastAsia="宋体"/>
                <w:b w:val="0"/>
                <w:color w:val="auto"/>
                <w:sz w:val="24"/>
                <w:highlight w:val="none"/>
                <w:lang w:val="en-US" w:eastAsia="zh-CN"/>
              </w:rPr>
              <w:t>以上</w:t>
            </w:r>
          </w:p>
          <w:p>
            <w:pPr>
              <w:pStyle w:val="28"/>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lang w:val="en-US" w:eastAsia="zh-CN"/>
              </w:rPr>
              <w:t>注：法律、法规另有规定的，从其规定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continue"/>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p>
        </w:tc>
        <w:tc>
          <w:tcPr>
            <w:tcW w:w="1160" w:type="pct"/>
            <w:vMerge w:val="continue"/>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确定成交供应商：</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 xml:space="preserve">□采购人委托谈判小组确定 </w:t>
            </w:r>
            <w:r>
              <w:rPr>
                <w:rFonts w:ascii="宋体" w:hAnsi="宋体" w:eastAsia="宋体"/>
                <w:b w:val="0"/>
                <w:color w:val="auto"/>
                <w:sz w:val="24"/>
                <w:highlight w:val="none"/>
              </w:rPr>
              <w:t xml:space="preserve">   </w:t>
            </w:r>
            <w:r>
              <w:rPr>
                <w:rFonts w:hint="eastAsia" w:ascii="宋体" w:hAnsi="宋体" w:eastAsia="宋体"/>
                <w:b w:val="0"/>
                <w:color w:val="auto"/>
                <w:sz w:val="24"/>
                <w:highlight w:val="none"/>
              </w:rPr>
              <w:t xml:space="preserve"> □采购人确定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22</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60" w:type="pct"/>
            <w:vAlign w:val="center"/>
          </w:tcPr>
          <w:p>
            <w:pPr>
              <w:pStyle w:val="28"/>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随</w:t>
            </w:r>
            <w:r>
              <w:rPr>
                <w:rFonts w:hint="eastAsia" w:ascii="宋体" w:hAnsi="宋体" w:eastAsia="宋体"/>
                <w:b w:val="0"/>
                <w:color w:val="auto"/>
                <w:sz w:val="24"/>
                <w:highlight w:val="none"/>
                <w:lang w:val="en-US" w:eastAsia="zh-CN"/>
              </w:rPr>
              <w:t>成交</w:t>
            </w:r>
            <w:r>
              <w:rPr>
                <w:rFonts w:hint="eastAsia" w:ascii="宋体" w:hAnsi="宋体" w:eastAsia="宋体"/>
                <w:b w:val="0"/>
                <w:color w:val="auto"/>
                <w:sz w:val="24"/>
                <w:highlight w:val="none"/>
              </w:rPr>
              <w:t>结果公告同时</w:t>
            </w:r>
            <w:r>
              <w:rPr>
                <w:rFonts w:hint="eastAsia" w:ascii="宋体" w:hAnsi="宋体" w:eastAsia="宋体"/>
                <w:b w:val="0"/>
                <w:color w:val="auto"/>
                <w:sz w:val="24"/>
                <w:highlight w:val="none"/>
                <w:lang w:val="en-US" w:eastAsia="zh-CN"/>
              </w:rPr>
              <w:t>公告</w:t>
            </w:r>
            <w:r>
              <w:rPr>
                <w:rFonts w:hint="eastAsia" w:ascii="宋体" w:hAnsi="宋体" w:eastAsia="宋体"/>
                <w:b w:val="0"/>
                <w:color w:val="auto"/>
                <w:sz w:val="24"/>
                <w:highlight w:val="none"/>
              </w:rPr>
              <w:t>的内容</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28"/>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28"/>
              <w:widowControl w:val="0"/>
              <w:spacing w:before="0" w:beforeAutospacing="0" w:after="0" w:afterAutospacing="0" w:line="360" w:lineRule="auto"/>
              <w:jc w:val="both"/>
              <w:rPr>
                <w:rFonts w:hint="eastAsia" w:ascii="宋体" w:hAnsi="宋体" w:eastAsia="宋体"/>
                <w:b w:val="0"/>
                <w:color w:val="auto"/>
                <w:sz w:val="24"/>
                <w:highlight w:val="none"/>
                <w:u w:val="none"/>
                <w:lang w:eastAsia="zh-CN"/>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rPr>
              <w:t>）因落实政府采购政策等原因进行价格扣除后中标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供应商的评审报价</w:t>
            </w:r>
            <w:r>
              <w:rPr>
                <w:rFonts w:hint="eastAsia" w:ascii="宋体" w:hAnsi="宋体" w:eastAsia="宋体"/>
                <w:b w:val="0"/>
                <w:color w:val="auto"/>
                <w:sz w:val="24"/>
                <w:highlight w:val="none"/>
                <w:u w:val="none"/>
                <w:lang w:eastAsia="zh-CN"/>
              </w:rPr>
              <w:t>；</w:t>
            </w:r>
          </w:p>
          <w:p>
            <w:pPr>
              <w:pStyle w:val="28"/>
              <w:widowControl w:val="0"/>
              <w:spacing w:before="0" w:beforeAutospacing="0" w:after="0" w:afterAutospacing="0" w:line="360" w:lineRule="auto"/>
              <w:jc w:val="both"/>
              <w:rPr>
                <w:rFonts w:ascii="宋体" w:hAnsi="宋体" w:eastAsia="宋体" w:cs="@仿宋_GB2312"/>
                <w:b w:val="0"/>
                <w:bCs w:val="0"/>
                <w:color w:val="auto"/>
                <w:kern w:val="0"/>
                <w:sz w:val="24"/>
                <w:szCs w:val="24"/>
                <w:highlight w:val="none"/>
                <w:lang w:val="en-US" w:eastAsia="zh-CN" w:bidi="ar-SA"/>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4</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23</w:t>
            </w:r>
            <w:r>
              <w:rPr>
                <w:rFonts w:ascii="宋体" w:hAnsi="宋体" w:eastAsia="宋体"/>
                <w:bCs/>
                <w:color w:val="auto"/>
                <w:kern w:val="2"/>
                <w:highlight w:val="none"/>
              </w:rPr>
              <w:t>.1</w:t>
            </w:r>
          </w:p>
        </w:tc>
        <w:tc>
          <w:tcPr>
            <w:tcW w:w="1160"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成交通知书发出的形式</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 xml:space="preserve">□书面 </w:t>
            </w:r>
            <w:r>
              <w:rPr>
                <w:rFonts w:ascii="宋体" w:hAnsi="宋体" w:eastAsia="宋体"/>
                <w:b w:val="0"/>
                <w:color w:val="auto"/>
                <w:sz w:val="24"/>
                <w:highlight w:val="none"/>
              </w:rPr>
              <w:t xml:space="preserve">    </w:t>
            </w:r>
            <w:r>
              <w:rPr>
                <w:rFonts w:hint="eastAsia" w:ascii="宋体" w:hAnsi="宋体" w:eastAsia="宋体"/>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rPr>
            </w:pPr>
            <w:r>
              <w:rPr>
                <w:rFonts w:hint="eastAsia" w:ascii="宋体" w:hAnsi="宋体" w:eastAsia="宋体" w:cs="宋体"/>
                <w:b w:val="0"/>
                <w:bCs/>
                <w:color w:val="auto"/>
                <w:sz w:val="24"/>
                <w:szCs w:val="24"/>
                <w:lang w:val="en-US" w:eastAsia="zh-CN"/>
              </w:rPr>
              <w:t>24.1</w:t>
            </w:r>
          </w:p>
        </w:tc>
        <w:tc>
          <w:tcPr>
            <w:tcW w:w="1160" w:type="pct"/>
            <w:vAlign w:val="center"/>
          </w:tcPr>
          <w:p>
            <w:pPr>
              <w:pStyle w:val="28"/>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cs="宋体"/>
                <w:b w:val="0"/>
                <w:bCs/>
                <w:color w:val="auto"/>
                <w:sz w:val="24"/>
                <w:szCs w:val="24"/>
                <w:lang w:val="en-US" w:eastAsia="zh-CN"/>
              </w:rPr>
              <w:t>告知谈判结果的形式</w:t>
            </w:r>
          </w:p>
        </w:tc>
        <w:tc>
          <w:tcPr>
            <w:tcW w:w="3267" w:type="pct"/>
            <w:vAlign w:val="center"/>
          </w:tcPr>
          <w:p>
            <w:pPr>
              <w:pStyle w:val="28"/>
              <w:widowControl w:val="0"/>
              <w:spacing w:before="0" w:beforeAutospacing="0" w:after="0" w:afterAutospacing="0" w:line="360" w:lineRule="auto"/>
              <w:jc w:val="both"/>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ascii="宋体" w:hAnsi="宋体" w:eastAsia="宋体" w:cs="宋体"/>
                <w:b w:val="0"/>
                <w:bCs/>
                <w:color w:val="auto"/>
                <w:sz w:val="24"/>
                <w:szCs w:val="24"/>
                <w:lang w:val="en-US" w:eastAsia="zh-CN"/>
              </w:rPr>
              <w:t>系统查看</w:t>
            </w:r>
          </w:p>
          <w:p>
            <w:pPr>
              <w:pStyle w:val="28"/>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cs="宋体"/>
                <w:b w:val="0"/>
                <w:bCs/>
                <w:color w:val="auto"/>
                <w:sz w:val="24"/>
                <w:szCs w:val="24"/>
                <w:lang w:val="en-US" w:eastAsia="zh-CN"/>
              </w:rPr>
              <w:t>□</w:t>
            </w:r>
            <w:r>
              <w:rPr>
                <w:rFonts w:hint="eastAsia" w:ascii="宋体" w:hAnsi="宋体" w:eastAsia="宋体"/>
                <w:b w:val="0"/>
                <w:color w:val="auto"/>
                <w:sz w:val="24"/>
                <w:highlight w:val="none"/>
                <w:lang w:val="en-US" w:eastAsia="zh-CN"/>
              </w:rPr>
              <w:t>谈判现场告知</w:t>
            </w:r>
          </w:p>
          <w:p>
            <w:pPr>
              <w:pStyle w:val="28"/>
              <w:widowControl w:val="0"/>
              <w:spacing w:before="0" w:beforeAutospacing="0" w:after="0" w:afterAutospacing="0" w:line="360" w:lineRule="auto"/>
              <w:jc w:val="both"/>
              <w:rPr>
                <w:rFonts w:hint="default" w:ascii="宋体" w:hAnsi="宋体" w:eastAsia="宋体"/>
                <w:b w:val="0"/>
                <w:color w:val="auto"/>
                <w:sz w:val="24"/>
                <w:highlight w:val="none"/>
                <w:lang w:val="en-US" w:eastAsia="zh-CN"/>
              </w:rPr>
            </w:pPr>
            <w:r>
              <w:rPr>
                <w:rFonts w:hint="eastAsia" w:ascii="宋体" w:hAnsi="宋体" w:eastAsia="宋体" w:cs="宋体"/>
                <w:b w:val="0"/>
                <w:bCs/>
                <w:color w:val="auto"/>
                <w:sz w:val="24"/>
                <w:szCs w:val="24"/>
                <w:lang w:val="en-US" w:eastAsia="zh-CN"/>
              </w:rPr>
              <w:t>□</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60"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67" w:type="pct"/>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28"/>
              <w:widowControl w:val="0"/>
              <w:spacing w:before="0" w:beforeAutospacing="0" w:after="0" w:afterAutospacing="0" w:line="360" w:lineRule="auto"/>
              <w:jc w:val="both"/>
              <w:rPr>
                <w:rFonts w:ascii="宋体" w:hAnsi="宋体" w:eastAsia="宋体"/>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60" w:type="pct"/>
            <w:vAlign w:val="center"/>
          </w:tcPr>
          <w:p>
            <w:pPr>
              <w:pStyle w:val="28"/>
              <w:widowControl w:val="0"/>
              <w:spacing w:before="0" w:beforeAutospacing="0" w:after="0" w:afterAutospacing="0" w:line="360" w:lineRule="auto"/>
              <w:jc w:val="both"/>
              <w:rPr>
                <w:rFonts w:hint="default"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代理费用</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eastAsia" w:ascii="宋体" w:hAnsi="宋体" w:eastAsia="宋体" w:cs="宋体"/>
                <w:sz w:val="24"/>
                <w:szCs w:val="24"/>
                <w:lang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lang w:val="en-US" w:eastAsia="zh-CN"/>
              </w:rPr>
              <w:t>成交</w:t>
            </w:r>
            <w:r>
              <w:rPr>
                <w:rFonts w:hint="eastAsia" w:ascii="宋体" w:hAnsi="宋体" w:eastAsia="宋体" w:cs="宋体"/>
                <w:spacing w:val="14"/>
                <w:sz w:val="24"/>
                <w:szCs w:val="24"/>
                <w:lang w:val="en-US" w:eastAsia="zh-CN"/>
              </w:rPr>
              <w:t>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cs="@仿宋_GB2312"/>
                <w:b w:val="0"/>
                <w:bCs/>
                <w:color w:val="auto"/>
                <w:kern w:val="0"/>
                <w:sz w:val="24"/>
                <w:szCs w:val="28"/>
                <w:highlight w:val="yellow"/>
                <w:lang w:val="en-US" w:eastAsia="zh-CN" w:bidi="ar-SA"/>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27.1</w:t>
            </w:r>
          </w:p>
        </w:tc>
        <w:tc>
          <w:tcPr>
            <w:tcW w:w="1160" w:type="pct"/>
            <w:vAlign w:val="center"/>
          </w:tcPr>
          <w:p>
            <w:pPr>
              <w:pStyle w:val="28"/>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签订合同和合同公告时间</w:t>
            </w:r>
          </w:p>
        </w:tc>
        <w:tc>
          <w:tcPr>
            <w:tcW w:w="3267" w:type="pct"/>
            <w:vAlign w:val="center"/>
          </w:tcPr>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（1）采购人与成交供应商应当自发出成交通知书之日起7个工作日内签订合同，采购合同签订之日起2个工作日内完成政府采购合同公开。</w:t>
            </w:r>
          </w:p>
          <w:p>
            <w:pPr>
              <w:pStyle w:val="28"/>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cs="宋体"/>
                <w:b w:val="0"/>
                <w:bCs w:val="0"/>
                <w:color w:val="auto"/>
                <w:sz w:val="24"/>
                <w:szCs w:val="24"/>
                <w:highlight w:val="none"/>
                <w:lang w:val="en-US" w:eastAsia="zh-CN"/>
              </w:rPr>
              <w:t>（2）采购人与成交供应商</w:t>
            </w:r>
            <w:r>
              <w:rPr>
                <w:rFonts w:hint="default" w:ascii="宋体" w:hAnsi="宋体" w:eastAsia="宋体" w:cs="宋体"/>
                <w:b w:val="0"/>
                <w:bCs w:val="0"/>
                <w:color w:val="auto"/>
                <w:sz w:val="24"/>
                <w:szCs w:val="24"/>
                <w:highlight w:val="none"/>
                <w:lang w:val="en-US" w:eastAsia="zh-CN"/>
              </w:rPr>
              <w:t>不得擅自变更合同，依照政府采购法确需变更政府采购合同内容的，采购人应当自合同变更之日起2个工作日内</w:t>
            </w:r>
            <w:r>
              <w:rPr>
                <w:rFonts w:hint="eastAsia" w:ascii="宋体" w:hAnsi="宋体" w:eastAsia="宋体" w:cs="宋体"/>
                <w:b w:val="0"/>
                <w:bCs w:val="0"/>
                <w:color w:val="auto"/>
                <w:sz w:val="24"/>
                <w:szCs w:val="24"/>
                <w:highlight w:val="none"/>
                <w:lang w:val="en-US" w:eastAsia="zh-CN"/>
              </w:rPr>
              <w:t>在安徽省政府采购网</w:t>
            </w:r>
            <w:r>
              <w:rPr>
                <w:rFonts w:hint="default" w:ascii="宋体" w:hAnsi="宋体" w:eastAsia="宋体" w:cs="宋体"/>
                <w:b w:val="0"/>
                <w:bCs w:val="0"/>
                <w:color w:val="auto"/>
                <w:sz w:val="24"/>
                <w:szCs w:val="24"/>
                <w:highlight w:val="none"/>
                <w:lang w:val="en-US" w:eastAsia="zh-CN"/>
              </w:rPr>
              <w:t>发布政府采购合同变更公告</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29</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60" w:type="pct"/>
            <w:vAlign w:val="center"/>
          </w:tcPr>
          <w:p>
            <w:pPr>
              <w:pStyle w:val="28"/>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质疑函递交方式、接收部门、联系电话和通讯地址</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28"/>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28"/>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28"/>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hint="default"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30</w:t>
            </w:r>
          </w:p>
        </w:tc>
        <w:tc>
          <w:tcPr>
            <w:tcW w:w="1160" w:type="pct"/>
            <w:vAlign w:val="center"/>
          </w:tcPr>
          <w:p>
            <w:pPr>
              <w:pStyle w:val="28"/>
              <w:widowControl w:val="0"/>
              <w:spacing w:before="0" w:beforeAutospacing="0" w:after="0" w:afterAutospacing="0" w:line="360" w:lineRule="auto"/>
              <w:jc w:val="both"/>
              <w:rPr>
                <w:rFonts w:hint="default"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其他内容</w:t>
            </w:r>
          </w:p>
        </w:tc>
        <w:tc>
          <w:tcPr>
            <w:tcW w:w="3267" w:type="pct"/>
            <w:vAlign w:val="center"/>
          </w:tcPr>
          <w:p>
            <w:pPr>
              <w:pStyle w:val="28"/>
              <w:widowControl w:val="0"/>
              <w:numPr>
                <w:ilvl w:val="0"/>
                <w:numId w:val="0"/>
              </w:numPr>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lang w:val="en-US" w:eastAsia="zh-CN"/>
              </w:rPr>
              <w:t>谈判</w:t>
            </w:r>
            <w:r>
              <w:rPr>
                <w:rFonts w:asciiTheme="minorEastAsia" w:hAnsiTheme="minorEastAsia" w:eastAsiaTheme="minorEastAsia"/>
                <w:bCs/>
                <w:color w:val="auto"/>
                <w:sz w:val="24"/>
                <w:szCs w:val="24"/>
                <w:highlight w:val="none"/>
              </w:rPr>
              <w:t>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谈判</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谈判及响应文件提交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竞争性谈判</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谈判邀请、供应商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28"/>
              <w:widowControl w:val="0"/>
              <w:numPr>
                <w:ilvl w:val="0"/>
                <w:numId w:val="0"/>
              </w:numPr>
              <w:spacing w:before="0" w:beforeAutospacing="0" w:after="0" w:afterAutospacing="0" w:line="360" w:lineRule="auto"/>
              <w:jc w:val="both"/>
              <w:rPr>
                <w:rFonts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（5）</w:t>
            </w:r>
            <w:r>
              <w:rPr>
                <w:rFonts w:cs="@仿宋_GB2312" w:asciiTheme="minorEastAsia" w:hAnsiTheme="minorEastAsia" w:eastAsiaTheme="minorEastAsia"/>
                <w:b w:val="0"/>
                <w:bCs/>
                <w:color w:val="auto"/>
                <w:kern w:val="2"/>
                <w:sz w:val="24"/>
                <w:szCs w:val="24"/>
                <w:highlight w:val="none"/>
                <w:lang w:val="en-US" w:eastAsia="zh-CN" w:bidi="ar-SA"/>
              </w:rPr>
              <w:t>按本款前述规定仍不能形成结论的，由</w:t>
            </w:r>
            <w:r>
              <w:rPr>
                <w:rFonts w:hint="eastAsia" w:cs="@仿宋_GB2312" w:asciiTheme="minorEastAsia" w:hAnsiTheme="minorEastAsia" w:eastAsiaTheme="minorEastAsia"/>
                <w:b w:val="0"/>
                <w:bCs/>
                <w:color w:val="auto"/>
                <w:kern w:val="2"/>
                <w:sz w:val="24"/>
                <w:szCs w:val="24"/>
                <w:highlight w:val="none"/>
                <w:lang w:val="en-US" w:eastAsia="zh-CN" w:bidi="ar-SA"/>
              </w:rPr>
              <w:t>采购</w:t>
            </w:r>
            <w:r>
              <w:rPr>
                <w:rFonts w:cs="@仿宋_GB2312" w:asciiTheme="minorEastAsia" w:hAnsiTheme="minorEastAsia" w:eastAsiaTheme="minorEastAsia"/>
                <w:b w:val="0"/>
                <w:bCs/>
                <w:color w:val="auto"/>
                <w:kern w:val="2"/>
                <w:sz w:val="24"/>
                <w:szCs w:val="24"/>
                <w:highlight w:val="none"/>
                <w:lang w:val="en-US" w:eastAsia="zh-CN" w:bidi="ar-SA"/>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成交供应商</w:t>
            </w:r>
            <w:r>
              <w:rPr>
                <w:rFonts w:hint="eastAsia" w:asciiTheme="minorEastAsia" w:hAnsiTheme="minorEastAsia" w:eastAsiaTheme="minorEastAsia"/>
                <w:bCs/>
                <w:color w:val="auto"/>
                <w:sz w:val="24"/>
                <w:szCs w:val="24"/>
                <w:highlight w:val="none"/>
              </w:rPr>
              <w:t>融资申请信息推送第三方平台、意向金融机构。</w:t>
            </w:r>
          </w:p>
          <w:p>
            <w:pPr>
              <w:pStyle w:val="28"/>
              <w:widowControl w:val="0"/>
              <w:numPr>
                <w:ilvl w:val="0"/>
                <w:numId w:val="0"/>
              </w:numPr>
              <w:spacing w:before="0" w:beforeAutospacing="0" w:after="0" w:afterAutospacing="0" w:line="360" w:lineRule="auto"/>
              <w:jc w:val="both"/>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3、电子保函指引：成交供应商可访问安徽省政府采购网“融资/保函”栏目，申请办理电子保函（包括：履约保函、预付款保函）。</w:t>
            </w:r>
          </w:p>
          <w:p>
            <w:pPr>
              <w:pStyle w:val="28"/>
              <w:widowControl w:val="0"/>
              <w:numPr>
                <w:ilvl w:val="0"/>
                <w:numId w:val="0"/>
              </w:numPr>
              <w:spacing w:before="0" w:beforeAutospacing="0" w:after="0" w:afterAutospacing="0" w:line="360" w:lineRule="auto"/>
              <w:ind w:left="0" w:leftChars="0" w:firstLine="0" w:firstLineChars="0"/>
              <w:jc w:val="both"/>
              <w:rPr>
                <w:rFonts w:hint="default"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宋体" w:hAnsi="宋体" w:eastAsia="宋体"/>
          <w:color w:val="auto"/>
          <w:sz w:val="24"/>
          <w:highlight w:val="none"/>
        </w:rPr>
      </w:pPr>
      <w:r>
        <w:rPr>
          <w:rFonts w:asciiTheme="minorEastAsia" w:hAnsiTheme="minorEastAsia" w:eastAsiaTheme="minorEastAsia"/>
          <w:b/>
          <w:color w:val="auto"/>
          <w:sz w:val="28"/>
          <w:highlight w:val="none"/>
        </w:rPr>
        <w:br w:type="page"/>
      </w:r>
      <w:bookmarkStart w:id="24" w:name="_Toc11602"/>
      <w:bookmarkStart w:id="25" w:name="_Toc19150"/>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24"/>
      <w:bookmarkEnd w:id="25"/>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color w:val="auto"/>
          <w:highlight w:val="none"/>
        </w:rPr>
        <w:t xml:space="preserve"> </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w:t>
      </w:r>
      <w:r>
        <w:rPr>
          <w:rFonts w:hint="eastAsia" w:ascii="宋体" w:hAnsi="宋体" w:eastAsia="宋体"/>
          <w:color w:val="auto"/>
          <w:sz w:val="24"/>
          <w:highlight w:val="none"/>
        </w:rPr>
        <w:t>供应商</w:t>
      </w:r>
      <w:r>
        <w:rPr>
          <w:rFonts w:ascii="宋体" w:hAnsi="宋体" w:eastAsia="宋体"/>
          <w:color w:val="auto"/>
          <w:sz w:val="24"/>
          <w:highlight w:val="none"/>
        </w:rPr>
        <w:t>：是指向采购人提供货物、工程或者服务的法人、</w:t>
      </w:r>
      <w:r>
        <w:rPr>
          <w:rFonts w:hint="eastAsia" w:ascii="宋体" w:hAnsi="宋体" w:eastAsia="宋体"/>
          <w:color w:val="auto"/>
          <w:sz w:val="24"/>
          <w:highlight w:val="none"/>
          <w:lang w:val="en-US" w:eastAsia="zh-CN"/>
        </w:rPr>
        <w:t>其他</w:t>
      </w:r>
      <w:r>
        <w:rPr>
          <w:rFonts w:ascii="宋体" w:hAnsi="宋体" w:eastAsia="宋体"/>
          <w:color w:val="auto"/>
          <w:sz w:val="24"/>
          <w:highlight w:val="none"/>
        </w:rPr>
        <w:t>组织或者自然人。</w:t>
      </w:r>
      <w:r>
        <w:rPr>
          <w:rFonts w:hint="eastAsia" w:ascii="宋体" w:hAnsi="宋体" w:eastAsia="宋体"/>
          <w:color w:val="auto"/>
          <w:sz w:val="24"/>
          <w:highlight w:val="none"/>
        </w:rPr>
        <w:t>分支机构不得参加政府采购活动，但银行、保险、石油石化、电力、电信等特殊行业除外。</w:t>
      </w:r>
      <w:bookmarkStart w:id="26" w:name="_Hlk60264251"/>
      <w:r>
        <w:rPr>
          <w:rFonts w:ascii="宋体" w:hAnsi="宋体" w:eastAsia="宋体"/>
          <w:color w:val="auto"/>
          <w:sz w:val="24"/>
          <w:highlight w:val="none"/>
        </w:rPr>
        <w:t>本项目的</w:t>
      </w:r>
      <w:r>
        <w:rPr>
          <w:rFonts w:hint="eastAsia" w:ascii="宋体" w:hAnsi="宋体" w:eastAsia="宋体"/>
          <w:color w:val="auto"/>
          <w:sz w:val="24"/>
          <w:highlight w:val="none"/>
          <w:lang w:val="en-US" w:eastAsia="zh-CN"/>
        </w:rPr>
        <w:t>供应商</w:t>
      </w:r>
      <w:r>
        <w:rPr>
          <w:rFonts w:ascii="宋体" w:hAnsi="宋体" w:eastAsia="宋体"/>
          <w:color w:val="auto"/>
          <w:sz w:val="24"/>
          <w:highlight w:val="none"/>
        </w:rPr>
        <w:t>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w:t>
      </w:r>
      <w:r>
        <w:rPr>
          <w:rFonts w:hint="eastAsia" w:ascii="宋体" w:hAnsi="宋体" w:eastAsia="宋体"/>
          <w:color w:val="auto"/>
          <w:sz w:val="24"/>
          <w:highlight w:val="none"/>
          <w:lang w:val="en-US" w:eastAsia="zh-CN"/>
        </w:rPr>
        <w:t>谈判</w:t>
      </w:r>
      <w:r>
        <w:rPr>
          <w:rFonts w:ascii="宋体" w:hAnsi="宋体" w:eastAsia="宋体"/>
          <w:color w:val="auto"/>
          <w:sz w:val="24"/>
          <w:highlight w:val="none"/>
        </w:rPr>
        <w:t>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w:t>
      </w:r>
      <w:r>
        <w:rPr>
          <w:rFonts w:hint="eastAsia" w:ascii="宋体" w:hAnsi="宋体" w:eastAsia="宋体"/>
          <w:color w:val="auto"/>
          <w:sz w:val="24"/>
          <w:highlight w:val="none"/>
          <w:lang w:val="en-US" w:eastAsia="zh-CN"/>
        </w:rPr>
        <w:t>供应商</w:t>
      </w:r>
      <w:r>
        <w:rPr>
          <w:rFonts w:ascii="宋体" w:hAnsi="宋体" w:eastAsia="宋体"/>
          <w:color w:val="auto"/>
          <w:sz w:val="24"/>
          <w:highlight w:val="none"/>
        </w:rPr>
        <w:t>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hint="eastAsia" w:ascii="宋体" w:hAnsi="宋体" w:eastAsia="宋体"/>
          <w:color w:val="auto"/>
          <w:sz w:val="24"/>
          <w:highlight w:val="none"/>
        </w:rPr>
        <w:t>中未写明允许采购进口产品，如</w:t>
      </w: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所投产品为进口产品，</w:t>
      </w:r>
      <w:r>
        <w:rPr>
          <w:rFonts w:ascii="宋体" w:hAnsi="宋体" w:eastAsia="宋体"/>
          <w:color w:val="auto"/>
          <w:sz w:val="24"/>
          <w:highlight w:val="none"/>
        </w:rPr>
        <w:t>其</w:t>
      </w:r>
      <w:r>
        <w:rPr>
          <w:rFonts w:hint="eastAsia" w:ascii="宋体" w:hAnsi="宋体" w:eastAsia="宋体"/>
          <w:color w:val="auto"/>
          <w:sz w:val="24"/>
          <w:highlight w:val="none"/>
        </w:rPr>
        <w:t>响应文件将被认定为</w:t>
      </w:r>
      <w:r>
        <w:rPr>
          <w:rFonts w:hint="eastAsia" w:ascii="宋体" w:hAnsi="宋体" w:eastAsia="宋体"/>
          <w:b/>
          <w:color w:val="auto"/>
          <w:sz w:val="24"/>
          <w:highlight w:val="none"/>
          <w:lang w:val="en-US" w:eastAsia="zh-CN"/>
        </w:rPr>
        <w:t>响应</w:t>
      </w:r>
      <w:r>
        <w:rPr>
          <w:rFonts w:hint="eastAsia" w:ascii="宋体" w:hAnsi="宋体" w:eastAsia="宋体"/>
          <w:b/>
          <w:color w:val="auto"/>
          <w:sz w:val="24"/>
          <w:highlight w:val="none"/>
        </w:rPr>
        <w:t>无效</w:t>
      </w:r>
      <w:r>
        <w:rPr>
          <w:rFonts w:hint="eastAsia" w:ascii="宋体" w:hAnsi="宋体" w:eastAsia="宋体"/>
          <w:color w:val="auto"/>
          <w:sz w:val="24"/>
          <w:highlight w:val="none"/>
        </w:rPr>
        <w:t>。</w:t>
      </w:r>
    </w:p>
    <w:bookmarkEnd w:id="26"/>
    <w:p>
      <w:pPr>
        <w:spacing w:line="360" w:lineRule="auto"/>
        <w:ind w:firstLine="435"/>
        <w:rPr>
          <w:rFonts w:ascii="宋体" w:hAnsi="宋体" w:eastAsia="宋体"/>
          <w:color w:val="auto"/>
          <w:sz w:val="24"/>
          <w:highlight w:val="none"/>
        </w:rPr>
      </w:pPr>
      <w:bookmarkStart w:id="27" w:name="_Hlk60611047"/>
      <w:r>
        <w:rPr>
          <w:rFonts w:hint="eastAsia" w:ascii="宋体" w:hAnsi="宋体" w:eastAsia="宋体"/>
          <w:bCs/>
          <w:color w:val="auto"/>
          <w:kern w:val="0"/>
          <w:sz w:val="24"/>
          <w:szCs w:val="28"/>
          <w:highlight w:val="none"/>
          <w:lang w:val="en-US" w:eastAsia="zh-CN"/>
        </w:rPr>
        <w:t>1</w:t>
      </w:r>
      <w:r>
        <w:rPr>
          <w:rFonts w:ascii="宋体" w:hAnsi="宋体" w:eastAsia="宋体"/>
          <w:bCs/>
          <w:color w:val="auto"/>
          <w:kern w:val="0"/>
          <w:sz w:val="24"/>
          <w:szCs w:val="28"/>
          <w:highlight w:val="none"/>
        </w:rPr>
        <w:t>.5</w:t>
      </w:r>
      <w:r>
        <w:rPr>
          <w:rFonts w:hint="eastAsia" w:ascii="宋体" w:hAnsi="宋体" w:eastAsia="宋体"/>
          <w:bCs/>
          <w:color w:val="auto"/>
          <w:kern w:val="0"/>
          <w:sz w:val="24"/>
          <w:szCs w:val="28"/>
          <w:highlight w:val="none"/>
        </w:rPr>
        <w:t>若竞争性谈判公告</w:t>
      </w:r>
      <w:r>
        <w:rPr>
          <w:rFonts w:ascii="宋体" w:hAnsi="宋体" w:eastAsia="宋体"/>
          <w:bCs/>
          <w:color w:val="auto"/>
          <w:kern w:val="0"/>
          <w:sz w:val="24"/>
          <w:szCs w:val="28"/>
          <w:highlight w:val="none"/>
        </w:rPr>
        <w:t>中允许联合体</w:t>
      </w:r>
      <w:r>
        <w:rPr>
          <w:rFonts w:hint="eastAsia" w:ascii="宋体" w:hAnsi="宋体" w:eastAsia="宋体"/>
          <w:bCs/>
          <w:color w:val="auto"/>
          <w:kern w:val="0"/>
          <w:sz w:val="24"/>
          <w:szCs w:val="28"/>
          <w:highlight w:val="none"/>
        </w:rPr>
        <w:t>参加谈判</w:t>
      </w:r>
      <w:r>
        <w:rPr>
          <w:rFonts w:ascii="宋体" w:hAnsi="宋体" w:eastAsia="宋体"/>
          <w:bCs/>
          <w:color w:val="auto"/>
          <w:kern w:val="0"/>
          <w:sz w:val="24"/>
          <w:szCs w:val="28"/>
          <w:highlight w:val="none"/>
        </w:rPr>
        <w:t>，对联合体规定如下：</w:t>
      </w:r>
    </w:p>
    <w:bookmarkEnd w:id="27"/>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.1</w:t>
      </w:r>
      <w:r>
        <w:rPr>
          <w:rFonts w:hint="eastAsia" w:ascii="宋体" w:hAnsi="宋体" w:eastAsia="宋体"/>
          <w:color w:val="auto"/>
          <w:sz w:val="24"/>
          <w:highlight w:val="none"/>
        </w:rPr>
        <w:t>两个以上供应商可以组成一个谈判联合体，以一个供应商的身份谈判</w:t>
      </w:r>
      <w:r>
        <w:rPr>
          <w:rFonts w:ascii="宋体" w:hAnsi="宋体" w:eastAsia="宋体"/>
          <w:color w:val="auto"/>
          <w:sz w:val="24"/>
          <w:highlight w:val="none"/>
        </w:rPr>
        <w:t>。</w:t>
      </w:r>
      <w:r>
        <w:rPr>
          <w:rFonts w:hint="eastAsia" w:ascii="宋体" w:hAnsi="宋体" w:eastAsia="宋体"/>
          <w:color w:val="auto"/>
          <w:sz w:val="24"/>
          <w:highlight w:val="none"/>
        </w:rPr>
        <w:t>联合体</w:t>
      </w:r>
      <w:r>
        <w:rPr>
          <w:rFonts w:hint="eastAsia" w:ascii="宋体" w:hAnsi="宋体" w:eastAsia="宋体"/>
          <w:color w:val="auto"/>
          <w:sz w:val="24"/>
          <w:highlight w:val="none"/>
          <w:lang w:val="en-US" w:eastAsia="zh-CN"/>
        </w:rPr>
        <w:t>谈判</w:t>
      </w:r>
      <w:r>
        <w:rPr>
          <w:rFonts w:hint="eastAsia" w:ascii="宋体" w:hAnsi="宋体" w:eastAsia="宋体"/>
          <w:color w:val="auto"/>
          <w:sz w:val="24"/>
          <w:highlight w:val="none"/>
        </w:rPr>
        <w:t>的，</w:t>
      </w:r>
      <w:r>
        <w:rPr>
          <w:rFonts w:hint="eastAsia" w:ascii="宋体" w:hAnsi="宋体" w:eastAsia="宋体"/>
          <w:color w:val="auto"/>
          <w:sz w:val="24"/>
          <w:highlight w:val="none"/>
          <w:lang w:val="en-US" w:eastAsia="zh-CN"/>
        </w:rPr>
        <w:t>谈判</w:t>
      </w:r>
      <w:r>
        <w:rPr>
          <w:rFonts w:hint="eastAsia" w:ascii="宋体" w:hAnsi="宋体" w:eastAsia="宋体"/>
          <w:color w:val="auto"/>
          <w:sz w:val="24"/>
          <w:highlight w:val="none"/>
        </w:rPr>
        <w:t>文件获取手续由联合体中任一成员单位办理均可。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.3采购人根据采购项目对</w:t>
      </w:r>
      <w:r>
        <w:rPr>
          <w:rFonts w:hint="eastAsia" w:ascii="宋体" w:hAnsi="宋体" w:eastAsia="宋体"/>
          <w:color w:val="auto"/>
          <w:sz w:val="24"/>
          <w:highlight w:val="none"/>
        </w:rPr>
        <w:t>供应商</w:t>
      </w:r>
      <w:r>
        <w:rPr>
          <w:rFonts w:ascii="宋体" w:hAnsi="宋体" w:eastAsia="宋体"/>
          <w:color w:val="auto"/>
          <w:sz w:val="24"/>
          <w:highlight w:val="none"/>
        </w:rPr>
        <w:t>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w:t>
      </w:r>
      <w:r>
        <w:rPr>
          <w:rFonts w:hint="eastAsia" w:ascii="宋体" w:hAnsi="宋体" w:eastAsia="宋体"/>
          <w:color w:val="auto"/>
          <w:sz w:val="24"/>
          <w:highlight w:val="none"/>
        </w:rPr>
        <w:t>响应</w:t>
      </w:r>
      <w:r>
        <w:rPr>
          <w:rFonts w:ascii="宋体" w:hAnsi="宋体" w:eastAsia="宋体"/>
          <w:color w:val="auto"/>
          <w:sz w:val="24"/>
          <w:highlight w:val="none"/>
        </w:rPr>
        <w:t>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.5大中型企业、其他自然人、法人或者非法人组织与小型、微型企业组成联合体共同参加</w:t>
      </w:r>
      <w:r>
        <w:rPr>
          <w:rFonts w:hint="eastAsia" w:ascii="宋体" w:hAnsi="宋体" w:eastAsia="宋体"/>
          <w:color w:val="auto"/>
          <w:sz w:val="24"/>
          <w:highlight w:val="none"/>
        </w:rPr>
        <w:t>谈判</w:t>
      </w:r>
      <w:r>
        <w:rPr>
          <w:rFonts w:ascii="宋体" w:hAnsi="宋体" w:eastAsia="宋体"/>
          <w:color w:val="auto"/>
          <w:sz w:val="24"/>
          <w:highlight w:val="none"/>
        </w:rPr>
        <w:t>，</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联合协议合同</w:t>
      </w:r>
      <w:r>
        <w:rPr>
          <w:rFonts w:ascii="宋体" w:hAnsi="宋体" w:eastAsia="宋体"/>
          <w:color w:val="auto"/>
          <w:sz w:val="24"/>
          <w:highlight w:val="none"/>
        </w:rPr>
        <w:t>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.7以联合体形式参加政府采购活动的，联合体各方不得再单独参加或者与其他供应商另外组成联合体参加本项目</w:t>
      </w:r>
      <w:r>
        <w:rPr>
          <w:rFonts w:hint="eastAsia" w:ascii="宋体" w:hAnsi="宋体" w:eastAsia="宋体"/>
          <w:color w:val="auto"/>
          <w:sz w:val="24"/>
          <w:highlight w:val="none"/>
        </w:rPr>
        <w:t>谈判</w:t>
      </w:r>
      <w:r>
        <w:rPr>
          <w:rFonts w:ascii="宋体" w:hAnsi="宋体" w:eastAsia="宋体"/>
          <w:color w:val="auto"/>
          <w:sz w:val="24"/>
          <w:highlight w:val="none"/>
        </w:rPr>
        <w:t>，否则相关</w:t>
      </w:r>
      <w:r>
        <w:rPr>
          <w:rFonts w:hint="eastAsia" w:ascii="宋体" w:hAnsi="宋体" w:eastAsia="宋体"/>
          <w:color w:val="auto"/>
          <w:sz w:val="24"/>
          <w:highlight w:val="none"/>
        </w:rPr>
        <w:t>响应文件</w:t>
      </w:r>
      <w:r>
        <w:rPr>
          <w:rFonts w:ascii="宋体" w:hAnsi="宋体" w:eastAsia="宋体"/>
          <w:color w:val="auto"/>
          <w:sz w:val="24"/>
          <w:highlight w:val="none"/>
        </w:rPr>
        <w:t>将被认定为</w:t>
      </w:r>
      <w:r>
        <w:rPr>
          <w:rFonts w:hint="eastAsia" w:ascii="宋体" w:hAnsi="宋体" w:eastAsia="宋体"/>
          <w:b/>
          <w:color w:val="auto"/>
          <w:sz w:val="24"/>
          <w:highlight w:val="none"/>
        </w:rPr>
        <w:t>响应</w:t>
      </w:r>
      <w:r>
        <w:rPr>
          <w:rFonts w:ascii="宋体" w:hAnsi="宋体" w:eastAsia="宋体"/>
          <w:b/>
          <w:color w:val="auto"/>
          <w:sz w:val="24"/>
          <w:highlight w:val="none"/>
        </w:rPr>
        <w:t>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.8对联合体参加谈判的其他资格要求见</w:t>
      </w:r>
      <w:r>
        <w:rPr>
          <w:rFonts w:hint="eastAsia" w:ascii="宋体" w:hAnsi="宋体" w:eastAsia="宋体"/>
          <w:color w:val="auto"/>
          <w:sz w:val="24"/>
          <w:highlight w:val="none"/>
        </w:rPr>
        <w:t>申请人的资格要求</w:t>
      </w:r>
      <w:r>
        <w:rPr>
          <w:rFonts w:ascii="宋体" w:hAnsi="宋体" w:eastAsia="宋体"/>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w:t>
      </w:r>
      <w:r>
        <w:rPr>
          <w:rFonts w:hint="eastAsia" w:asciiTheme="minorEastAsia" w:hAnsiTheme="minorEastAsia" w:eastAsiaTheme="minorEastAsia"/>
          <w:b/>
          <w:color w:val="auto"/>
          <w:sz w:val="24"/>
          <w:highlight w:val="none"/>
          <w:lang w:val="en-US" w:eastAsia="zh-CN"/>
        </w:rPr>
        <w:t>落实情况</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本项目的采购人已获得足以支付本次谈判后所签订的合同项下的资金。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谈判费用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不论谈判的结果如何，供应商应承担其所有与准备和参加谈判有关的费用。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rPr>
        <w:t>本项目采购人、采购代理机构、供应商、谈判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.1谈判文件包括下列内容：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谈判邀请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原则上采购人、采购代理机构不要求</w:t>
      </w:r>
      <w:r>
        <w:rPr>
          <w:rFonts w:hint="eastAsia" w:asciiTheme="minorEastAsia" w:hAnsiTheme="minorEastAsia" w:eastAsiaTheme="minorEastAsia"/>
          <w:color w:val="auto"/>
          <w:sz w:val="24"/>
          <w:highlight w:val="none"/>
          <w:lang w:val="en-US" w:eastAsia="zh-CN"/>
        </w:rPr>
        <w:t>供应商</w:t>
      </w:r>
      <w:r>
        <w:rPr>
          <w:rFonts w:asciiTheme="minorEastAsia" w:hAnsiTheme="minorEastAsia" w:eastAsiaTheme="minorEastAsia"/>
          <w:color w:val="auto"/>
          <w:sz w:val="24"/>
          <w:highlight w:val="none"/>
        </w:rPr>
        <w:t>提供样品。仅凭书面方式不能准确描述采购需求，或者需要对样品进行主观判断以确认是否满足采购需求等特殊情况除外。</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如需提供样品，对样品相关要求见采购需求，对样品的评审方法及评审标准见谈判文件第四章。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1供应商</w:t>
      </w:r>
      <w:r>
        <w:rPr>
          <w:rFonts w:asciiTheme="minorEastAsia" w:hAnsiTheme="minorEastAsia" w:eastAsiaTheme="minorEastAsia"/>
          <w:color w:val="auto"/>
          <w:sz w:val="24"/>
          <w:highlight w:val="none"/>
        </w:rPr>
        <w:t>如对</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文件内容有疑问，必须在</w:t>
      </w:r>
      <w:r>
        <w:rPr>
          <w:rFonts w:ascii="宋体" w:hAnsi="宋体" w:eastAsia="宋体"/>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答复供应商</w:t>
      </w:r>
      <w:r>
        <w:rPr>
          <w:rFonts w:hint="eastAsia" w:asciiTheme="minorEastAsia" w:hAnsiTheme="minorEastAsia" w:eastAsiaTheme="minorEastAsia"/>
          <w:color w:val="auto"/>
          <w:sz w:val="24"/>
          <w:highlight w:val="none"/>
        </w:rPr>
        <w:t>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w:t>
      </w:r>
      <w:bookmarkStart w:id="28" w:name="_Hlk16458572"/>
      <w:r>
        <w:rPr>
          <w:rFonts w:hint="eastAsia" w:ascii="宋体" w:hAnsi="宋体" w:eastAsia="宋体"/>
          <w:color w:val="auto"/>
          <w:sz w:val="24"/>
          <w:szCs w:val="18"/>
          <w:highlight w:val="none"/>
        </w:rPr>
        <w:t>安徽省政府采购网</w:t>
      </w:r>
      <w:bookmarkEnd w:id="28"/>
      <w:r>
        <w:rPr>
          <w:rFonts w:hint="eastAsia" w:ascii="宋体" w:hAnsi="宋体" w:eastAsia="宋体"/>
          <w:color w:val="auto"/>
          <w:sz w:val="24"/>
          <w:szCs w:val="18"/>
          <w:highlight w:val="none"/>
          <w:lang w:val="en-US" w:eastAsia="zh-CN"/>
        </w:rPr>
        <w:t>以</w:t>
      </w:r>
      <w:r>
        <w:rPr>
          <w:rFonts w:hint="eastAsia" w:asciiTheme="minorEastAsia" w:hAnsiTheme="minorEastAsia" w:eastAsiaTheme="minorEastAsia"/>
          <w:color w:val="auto"/>
          <w:sz w:val="24"/>
          <w:highlight w:val="none"/>
        </w:rPr>
        <w:t>发布更正公告的方式澄清或者修改谈判文件，更正公告的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供应商提供的任何书面或口头资料，未经采购代理机构在网上发布或书面通知，均作无效处理，不得作为谈判文件的组成部分。采购代理机构对供应商由此而做出的推论、理解和结论概不负责。</w:t>
      </w:r>
    </w:p>
    <w:p>
      <w:pPr>
        <w:spacing w:line="360" w:lineRule="auto"/>
        <w:ind w:firstLine="435"/>
        <w:rPr>
          <w:rFonts w:asciiTheme="minorEastAsia" w:hAnsiTheme="minorEastAsia" w:eastAsiaTheme="minorEastAsia"/>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本谈判</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val="0"/>
          <w:iCs/>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谈判，</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hint="default"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lang w:val="en-US" w:eastAsia="zh-CN"/>
        </w:rPr>
        <w:t>7.2供应商</w:t>
      </w:r>
      <w:r>
        <w:rPr>
          <w:rFonts w:asciiTheme="minorEastAsia" w:hAnsiTheme="minorEastAsia" w:eastAsiaTheme="minorEastAsia"/>
          <w:color w:val="auto"/>
          <w:sz w:val="24"/>
          <w:highlight w:val="none"/>
        </w:rPr>
        <w:t>应当对所投分包</w:t>
      </w:r>
      <w:r>
        <w:rPr>
          <w:rFonts w:hint="eastAsia" w:asciiTheme="minorEastAsia" w:hAnsiTheme="minorEastAsia" w:eastAsiaTheme="minorEastAsia"/>
          <w:color w:val="auto"/>
          <w:sz w:val="24"/>
          <w:highlight w:val="none"/>
          <w:lang w:val="en-US" w:eastAsia="zh-CN"/>
        </w:rPr>
        <w:t>谈判</w:t>
      </w:r>
      <w:r>
        <w:rPr>
          <w:rFonts w:asciiTheme="minorEastAsia" w:hAnsiTheme="minorEastAsia" w:eastAsiaTheme="minorEastAsia"/>
          <w:color w:val="auto"/>
          <w:sz w:val="24"/>
          <w:highlight w:val="none"/>
        </w:rPr>
        <w:t>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lang w:val="en-US" w:eastAsia="zh-CN"/>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无论谈判文件中是否要求，供应商所投货物及伴随的服务和工程均应符合国家强制性标准。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供应商与采购代理机构之间与谈判有关的所有往来通知、函件和响应文件均用中文表述。供应商随响应文件提供的证明文件和资料可以为其它语言，但必须附中文译文。翻译的中文资料与外文资料如果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除谈判文件中有特殊要求外，响应文件中所使用的计量单位，应采用中华人民共和国法定计量单位。</w:t>
      </w:r>
    </w:p>
    <w:p>
      <w:pPr>
        <w:spacing w:line="360" w:lineRule="auto"/>
        <w:ind w:firstLine="437"/>
        <w:outlineLvl w:val="2"/>
        <w:rPr>
          <w:rFonts w:hint="eastAsia" w:asciiTheme="minorEastAsia" w:hAnsiTheme="minorEastAsia" w:eastAsiaTheme="minorEastAsia"/>
          <w:b/>
          <w:color w:val="auto"/>
          <w:sz w:val="24"/>
          <w:highlight w:val="none"/>
          <w:lang w:eastAsia="zh-CN"/>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8</w:t>
      </w:r>
      <w:r>
        <w:rPr>
          <w:rFonts w:ascii="宋体" w:hAnsi="宋体" w:eastAsia="宋体"/>
          <w:color w:val="auto"/>
          <w:sz w:val="24"/>
          <w:highlight w:val="none"/>
        </w:rPr>
        <w:t>.1供应商应完整地按谈判文件提供的响应文件格式及要求编写响应文件，具体内容详见</w:t>
      </w:r>
      <w:r>
        <w:rPr>
          <w:rFonts w:hint="eastAsia" w:ascii="宋体" w:hAnsi="宋体" w:eastAsia="宋体"/>
          <w:color w:val="auto"/>
          <w:sz w:val="24"/>
          <w:highlight w:val="none"/>
          <w:lang w:val="en-US" w:eastAsia="zh-CN"/>
        </w:rPr>
        <w:t>本项目</w:t>
      </w:r>
      <w:r>
        <w:rPr>
          <w:rFonts w:ascii="宋体" w:hAnsi="宋体" w:eastAsia="宋体"/>
          <w:color w:val="auto"/>
          <w:sz w:val="24"/>
          <w:highlight w:val="none"/>
        </w:rPr>
        <w:t>响应文件格式的相关内容。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8.2</w:t>
      </w:r>
      <w:r>
        <w:rPr>
          <w:rFonts w:hint="eastAsia" w:ascii="宋体" w:hAnsi="宋体" w:eastAsia="宋体"/>
          <w:color w:val="auto"/>
          <w:sz w:val="24"/>
          <w:highlight w:val="none"/>
        </w:rPr>
        <w:t>供应商应提交谈判文件要求的证明文件，证明其响应内容符合谈判文件规定。该证明文件是响应文件的一部分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29" w:name="_Hlk11703583"/>
      <w:r>
        <w:rPr>
          <w:rFonts w:hint="eastAsia" w:asciiTheme="minorEastAsia" w:hAnsiTheme="minorEastAsia" w:eastAsiaTheme="minorEastAsia"/>
          <w:color w:val="auto"/>
          <w:sz w:val="24"/>
          <w:highlight w:val="none"/>
        </w:rPr>
        <w:t>。</w:t>
      </w:r>
    </w:p>
    <w:bookmarkEnd w:id="29"/>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公正，除非谈判文件另有规定或说明，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备选谈判</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全部采购需求所应提供的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以及伴随的</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和工程</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除谈判文件另有规定外，</w:t>
      </w:r>
      <w:r>
        <w:rPr>
          <w:rFonts w:hint="eastAsia" w:asciiTheme="minorEastAsia" w:hAnsiTheme="minorEastAsia" w:eastAsiaTheme="minorEastAsia"/>
          <w:color w:val="auto"/>
          <w:sz w:val="24"/>
          <w:highlight w:val="none"/>
        </w:rPr>
        <w:t>所有内容均应以人民币报价，供应商的谈判报价应遵守《中华人民共和国价格法》。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除非谈判文件另有规定或经采购人同意支付的，最后报价均不得高于谈判文件（公告）列明的项目预算，否则其响应文件将被认定为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10</w:t>
      </w:r>
      <w:r>
        <w:rPr>
          <w:rFonts w:hint="eastAsia" w:asciiTheme="minorEastAsia" w:hAnsiTheme="minorEastAsia" w:eastAsiaTheme="minorEastAsia"/>
          <w:color w:val="auto"/>
          <w:sz w:val="24"/>
          <w:highlight w:val="none"/>
        </w:rPr>
        <w:t>.1本项目不收取谈判保证金。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.1谈判有效期为从响应文件提交截止之日算起的日历天数，谈判有效期详见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.2在谈判有效期内，供应商的谈判保持有效，供应商不得要求撤销或修改其响应文件。谈判有效期不满足要求的响应，其响应文件将被认定为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3为保证有充分时间签订合同，采购人或采购代理机构可根据实际情况，在原谈判有效期截止之前，要求供应商延长谈判有效期。接受该要求的供应商将不会被要求和允许修正其响应文件。供应商可以拒绝延长谈判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.1供应商应当在</w:t>
      </w:r>
      <w:r>
        <w:rPr>
          <w:rFonts w:hint="eastAsia" w:asciiTheme="minorEastAsia" w:hAnsiTheme="minorEastAsia" w:eastAsiaTheme="minorEastAsia"/>
          <w:color w:val="auto"/>
          <w:sz w:val="24"/>
          <w:highlight w:val="none"/>
          <w:u w:val="none"/>
          <w:lang w:val="en-US" w:eastAsia="zh-CN"/>
        </w:rPr>
        <w:t>竞争性谈判公告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2供应商应当在响应文件提交截止时间前完成响应文件的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p>
    <w:p>
      <w:pPr>
        <w:spacing w:line="360" w:lineRule="auto"/>
        <w:ind w:firstLine="435"/>
        <w:rPr>
          <w:rFonts w:hint="default" w:asciiTheme="minorEastAsia" w:hAnsiTheme="minorEastAsia" w:eastAsiaTheme="minorEastAsia"/>
          <w:color w:val="auto"/>
          <w:sz w:val="24"/>
          <w:highlight w:val="none"/>
          <w:lang w:val="en-US" w:eastAsia="zh-CN"/>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val="en-US" w:eastAsia="zh-CN"/>
        </w:rPr>
        <w:t>未在规定时间内进行解密的，</w:t>
      </w:r>
      <w:r>
        <w:rPr>
          <w:rFonts w:hint="eastAsia" w:asciiTheme="minorEastAsia" w:hAnsiTheme="minorEastAsia" w:eastAsiaTheme="minorEastAsia"/>
          <w:b/>
          <w:bCs/>
          <w:color w:val="auto"/>
          <w:sz w:val="24"/>
          <w:highlight w:val="none"/>
          <w:lang w:val="en-US" w:eastAsia="zh-CN"/>
        </w:rPr>
        <w:t>响应无效</w:t>
      </w:r>
      <w:r>
        <w:rPr>
          <w:rFonts w:hint="eastAsia" w:asciiTheme="minorEastAsia" w:hAnsiTheme="minorEastAsia" w:eastAsiaTheme="minorEastAsia"/>
          <w:color w:val="auto"/>
          <w:sz w:val="24"/>
          <w:highlight w:val="none"/>
          <w:lang w:val="en-US" w:eastAsia="zh-CN"/>
        </w:rPr>
        <w:t>。</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ascii="宋体" w:hAnsi="宋体" w:eastAsia="宋体"/>
          <w:color w:val="auto"/>
          <w:sz w:val="24"/>
          <w:highlight w:val="none"/>
        </w:rPr>
        <w:t>但属于谈判小组在评审中发现的计算错误并进行核实的修改、按照谈判文件的变动情况和谈判小组的要求重新提交响应文件的，不在此列。</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.1本项目将依法组建谈判小组，谈判小组成员由3人以上</w:t>
      </w:r>
      <w:r>
        <w:rPr>
          <w:rFonts w:hint="eastAsia" w:asciiTheme="minorEastAsia" w:hAnsiTheme="minorEastAsia" w:eastAsiaTheme="minorEastAsia"/>
          <w:color w:val="auto"/>
          <w:sz w:val="24"/>
          <w:highlight w:val="none"/>
        </w:rPr>
        <w:t>（含）</w:t>
      </w:r>
      <w:r>
        <w:rPr>
          <w:rFonts w:asciiTheme="minorEastAsia" w:hAnsiTheme="minorEastAsia" w:eastAsiaTheme="minorEastAsia"/>
          <w:color w:val="auto"/>
          <w:sz w:val="24"/>
          <w:highlight w:val="none"/>
        </w:rPr>
        <w:t>单数组成，谈判小组及其成员应当依照政府采购的有关规定履行相关职责和义务。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.2谈判小组依法对响应文件进行评审，并根据谈判文件规定的程序、评定成交的标准等事项与实质性响应谈判文件要求的供应商进行谈判。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.3谈判小组应当从质量和服务均能满足谈判文件实质性响应要求的供应商中，按照评审办法</w:t>
      </w:r>
      <w:r>
        <w:rPr>
          <w:rFonts w:hint="eastAsia" w:asciiTheme="minorEastAsia" w:hAnsiTheme="minorEastAsia" w:eastAsiaTheme="minorEastAsia"/>
          <w:color w:val="auto"/>
          <w:sz w:val="24"/>
          <w:highlight w:val="none"/>
        </w:rPr>
        <w:t>和标准推荐</w:t>
      </w:r>
      <w:r>
        <w:rPr>
          <w:rFonts w:asciiTheme="minorEastAsia" w:hAnsiTheme="minorEastAsia" w:eastAsiaTheme="minorEastAsia"/>
          <w:color w:val="auto"/>
          <w:sz w:val="24"/>
          <w:highlight w:val="none"/>
        </w:rPr>
        <w:t>成交候选人，并编写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.响应文件的评审与谈判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1采购人和采购代理机构将在</w:t>
      </w:r>
      <w:r>
        <w:rPr>
          <w:rFonts w:hint="eastAsia" w:asciiTheme="minorEastAsia" w:hAnsiTheme="minorEastAsia" w:eastAsiaTheme="minorEastAsia"/>
          <w:color w:val="auto"/>
          <w:sz w:val="24"/>
          <w:highlight w:val="none"/>
          <w:u w:val="none"/>
          <w:lang w:val="en-US" w:eastAsia="zh-CN"/>
        </w:rPr>
        <w:t>竞争性谈判公告</w:t>
      </w:r>
      <w:r>
        <w:rPr>
          <w:rFonts w:hint="eastAsia" w:asciiTheme="minorEastAsia" w:hAnsiTheme="minorEastAsia" w:eastAsiaTheme="minorEastAsia"/>
          <w:color w:val="auto"/>
          <w:sz w:val="24"/>
          <w:highlight w:val="none"/>
        </w:rPr>
        <w:t>规定的时间和地点组织谈判。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2竞争性谈判采用最低评标价法评审。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最低评标价法，是指响应文件满足谈判文件全部实质性要求且最后报价最低的供应商为成交候选人的评标方法。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.3谈判小组将按照谈判文件规定的评审方法和标准对供应商独立进行评审。评审程序如下：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.3.1初审。谈判小组对供应商必须满足和实质性响应的内容进行评审，供应商未实质性响应谈判文件要求导致响应无效的，谈判小组将以书面询标的方式告知有关供应商。</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.3.2谈判。初审合格后，谈判小组将按网上加密电子响应文件提交顺序集中与单一供应商分别进行谈判，并给予所有参加谈判的供应商平等的谈判机会。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.3.3</w:t>
      </w:r>
      <w:r>
        <w:rPr>
          <w:rFonts w:asciiTheme="minorEastAsia" w:hAnsiTheme="minorEastAsia" w:eastAsiaTheme="minorEastAsia"/>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谈判结束后，谈判小组应当要求所有</w:t>
      </w:r>
      <w:r>
        <w:rPr>
          <w:rFonts w:hint="eastAsia" w:asciiTheme="minorEastAsia" w:hAnsiTheme="minorEastAsia" w:eastAsiaTheme="minorEastAsia"/>
          <w:color w:val="auto"/>
          <w:sz w:val="24"/>
          <w:highlight w:val="none"/>
        </w:rPr>
        <w:t>继续参加谈判</w:t>
      </w:r>
      <w:r>
        <w:rPr>
          <w:rFonts w:asciiTheme="minorEastAsia" w:hAnsiTheme="minorEastAsia" w:eastAsiaTheme="minorEastAsia"/>
          <w:color w:val="auto"/>
          <w:sz w:val="24"/>
          <w:highlight w:val="none"/>
        </w:rPr>
        <w:t>的供应商在规定时间内提交最后报价</w:t>
      </w:r>
      <w:r>
        <w:rPr>
          <w:rFonts w:hint="eastAsia" w:ascii="宋体" w:hAnsi="宋体" w:eastAsia="宋体"/>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.4相关说明。</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.4.1为保证谈判活动顺利进行，供应商可派相关技术人员进行网上答疑；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.4.2谈判</w:t>
      </w:r>
      <w:r>
        <w:rPr>
          <w:rFonts w:asciiTheme="minorEastAsia" w:hAnsiTheme="minorEastAsia" w:eastAsiaTheme="minorEastAsia"/>
          <w:color w:val="auto"/>
          <w:sz w:val="24"/>
          <w:highlight w:val="none"/>
        </w:rPr>
        <w:t>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谈判情况可能实质性变动</w:t>
      </w:r>
      <w:r>
        <w:rPr>
          <w:rFonts w:hint="eastAsia" w:asciiTheme="minorEastAsia" w:hAnsiTheme="minorEastAsia" w:eastAsiaTheme="minorEastAsia"/>
          <w:color w:val="auto"/>
          <w:sz w:val="24"/>
          <w:highlight w:val="none"/>
        </w:rPr>
        <w:t>谈判文件</w:t>
      </w:r>
      <w:r>
        <w:rPr>
          <w:rFonts w:asciiTheme="minorEastAsia" w:hAnsiTheme="minorEastAsia" w:eastAsiaTheme="minorEastAsia"/>
          <w:color w:val="auto"/>
          <w:sz w:val="24"/>
          <w:highlight w:val="none"/>
        </w:rPr>
        <w:t>的内容，包括采购需求中的技术、服务要求以及合同草案条款。谈判文件有实质性变动的，</w:t>
      </w:r>
      <w:r>
        <w:rPr>
          <w:rFonts w:hint="eastAsia" w:asciiTheme="minorEastAsia" w:hAnsiTheme="minorEastAsia" w:eastAsiaTheme="minorEastAsia"/>
          <w:color w:val="auto"/>
          <w:sz w:val="24"/>
          <w:highlight w:val="none"/>
        </w:rPr>
        <w:t>经采购人代表确认作为谈判文件的有效组成部分，</w:t>
      </w:r>
      <w:r>
        <w:rPr>
          <w:rFonts w:asciiTheme="minorEastAsia" w:hAnsiTheme="minorEastAsia" w:eastAsiaTheme="minorEastAsia"/>
          <w:color w:val="auto"/>
          <w:sz w:val="24"/>
          <w:highlight w:val="none"/>
        </w:rPr>
        <w:t>谈判小组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以书面形式通知所有参加谈判的供应商。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4.3谈判小组发现供应商的报价或者某些分项报价明显低于其他通过初审的供应商的报价，有可能影响产品质量和不能诚信履约的，应当要求其在合理的时间内提供书面说明，必要时提交相关证明材料；供应商不能证明其报价合理性的，其响应文件将被认定为</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.4.4</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小组可以视同其未提供。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.4.5谈判</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谈判过程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.1出现下列情况之一时，采购人和采购代理机构有权宣布终止竞争性谈判采购，并将理由通知所有供应商：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（1）有效供应商数量不足，导致本次谈判缺乏竞争的；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1谈判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.2谈判小组要求供应商澄清、说明或者更正响应文件应当以书面形式（询标）作出。供应商的澄清、说明或者更正应当由法定代表人或其授权代表签字或者加盖公章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lang w:val="en-US" w:eastAsia="zh-CN"/>
        </w:rPr>
        <w:t>电子签章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b/>
          <w:color w:val="auto"/>
          <w:sz w:val="24"/>
          <w:highlight w:val="none"/>
        </w:rPr>
        <w:t>如有询标，授权代表（或法定代表人）可通过远程登录的方式接受网上询标，也可凭本人有效身份证明参加询标。因授权代表联系不上</w:t>
      </w:r>
      <w:r>
        <w:rPr>
          <w:rFonts w:hint="eastAsia" w:ascii="宋体" w:hAnsi="宋体" w:eastAsia="宋体"/>
          <w:b/>
          <w:bCs/>
          <w:color w:val="auto"/>
          <w:sz w:val="24"/>
          <w:highlight w:val="none"/>
        </w:rPr>
        <w:t>、没有及时登录系统等情形</w:t>
      </w:r>
      <w:r>
        <w:rPr>
          <w:rFonts w:hint="eastAsia" w:ascii="宋体" w:hAnsi="宋体" w:eastAsia="宋体"/>
          <w:b/>
          <w:color w:val="auto"/>
          <w:sz w:val="24"/>
          <w:highlight w:val="none"/>
        </w:rPr>
        <w:t>而无法接受谈判小组询标的，供应商自行承担相关风险。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谈判并不限定只进行二轮报价，如果谈判小组认为有必要，可以要求供应商进行多轮报价。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在谈判内容不做实质性变更或重大调整的前提下，供应商下轮报价不得高于上一轮报价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pPr>
        <w:spacing w:line="360" w:lineRule="auto"/>
        <w:ind w:firstLine="435"/>
        <w:rPr>
          <w:rFonts w:asciiTheme="majorEastAsia" w:hAnsiTheme="majorEastAsia" w:eastAsiaTheme="majorEastAsia"/>
          <w:color w:val="auto"/>
          <w:sz w:val="24"/>
          <w:highlight w:val="none"/>
        </w:rPr>
      </w:pPr>
      <w:bookmarkStart w:id="30" w:name="_Hlk60611123"/>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）、《三部门联合发布关于促进残疾人就业政府采购政策的通知》（财库〔2017〕141号）和《</w:t>
      </w:r>
      <w:r>
        <w:rPr>
          <w:rFonts w:asciiTheme="majorEastAsia" w:hAnsiTheme="majorEastAsia" w:eastAsiaTheme="majorEastAsia"/>
          <w:color w:val="auto"/>
          <w:sz w:val="24"/>
          <w:highlight w:val="none"/>
        </w:rPr>
        <w:t>财政部 司法部关于政府采购支持监狱企业发展有关问题的通知</w:t>
      </w:r>
      <w:r>
        <w:rPr>
          <w:rFonts w:hint="eastAsia" w:asciiTheme="majorEastAsia" w:hAnsiTheme="majorEastAsia" w:eastAsiaTheme="majorEastAsia"/>
          <w:color w:val="auto"/>
          <w:sz w:val="24"/>
          <w:highlight w:val="none"/>
        </w:rPr>
        <w:t>》（财库〔2014〕68号）的规定，对满足价格扣除条件且在响应文件中提交了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p>
    <w:bookmarkEnd w:id="30"/>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成交候选人的推荐原则及标准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.1如一个分包内只有一种产品，不同供应商所投产品为同一品牌同一型号的，提供相同品牌</w:t>
      </w:r>
      <w:r>
        <w:rPr>
          <w:rFonts w:hint="eastAsia" w:ascii="宋体" w:hAnsi="宋体" w:eastAsia="宋体"/>
          <w:color w:val="auto"/>
          <w:sz w:val="24"/>
          <w:highlight w:val="none"/>
        </w:rPr>
        <w:t>相同型号</w:t>
      </w:r>
      <w:r>
        <w:rPr>
          <w:rFonts w:hint="eastAsia" w:asciiTheme="minorEastAsia" w:hAnsiTheme="minorEastAsia" w:eastAsiaTheme="minorEastAsia"/>
          <w:color w:val="auto"/>
          <w:sz w:val="24"/>
          <w:highlight w:val="none"/>
        </w:rPr>
        <w:t>产品的不同供应商，以其通过初审且最后报价最低的供应商获得成交候选人推荐资格；最后报价相同的，则所投产品为节能产品、环境标志产品、不发达地区或少数民族地区产品者优先；最后报价相同且所投产品同为节能产品、环境标志产品、不发达地区或少数民族地区产品的，则由谈判小组采取随机抽取方式确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.2如一个分包内包含多种产品的，采购人或采购代理机构将在</w:t>
      </w:r>
      <w:r>
        <w:rPr>
          <w:rFonts w:hint="eastAsia" w:asciiTheme="minorEastAsia" w:hAnsiTheme="minorEastAsia" w:eastAsiaTheme="minorEastAsia"/>
          <w:color w:val="auto"/>
          <w:sz w:val="24"/>
          <w:highlight w:val="none"/>
          <w:lang w:val="en-US" w:eastAsia="zh-CN"/>
        </w:rPr>
        <w:t>采购需求</w:t>
      </w:r>
      <w:r>
        <w:rPr>
          <w:rFonts w:hint="eastAsia" w:asciiTheme="minorEastAsia" w:hAnsiTheme="minorEastAsia" w:eastAsiaTheme="minorEastAsia"/>
          <w:color w:val="auto"/>
          <w:sz w:val="24"/>
          <w:highlight w:val="none"/>
        </w:rPr>
        <w:t>中载明核心产品，多家供应商提供的核心产品品牌型号相同的，按第</w:t>
      </w:r>
      <w:r>
        <w:rPr>
          <w:rFonts w:hint="eastAsia" w:asciiTheme="minorEastAsia" w:hAnsiTheme="minorEastAsia" w:eastAsiaTheme="minorEastAsia"/>
          <w:color w:val="auto"/>
          <w:sz w:val="24"/>
          <w:highlight w:val="none"/>
          <w:lang w:val="en-US" w:eastAsia="zh-CN"/>
        </w:rPr>
        <w:t>18.1</w:t>
      </w:r>
      <w:r>
        <w:rPr>
          <w:rFonts w:hint="eastAsia" w:asciiTheme="minorEastAsia" w:hAnsiTheme="minorEastAsia" w:eastAsiaTheme="minorEastAsia"/>
          <w:color w:val="auto"/>
          <w:sz w:val="24"/>
          <w:highlight w:val="none"/>
        </w:rPr>
        <w:t>款规定处理。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3谈判小组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和标准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按照最后报价由低到高的顺序依次推荐成交候选人。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确定成交候选人和成交供应商</w:t>
      </w:r>
    </w:p>
    <w:p>
      <w:pPr>
        <w:spacing w:line="360" w:lineRule="auto"/>
        <w:ind w:firstLine="470" w:firstLineChars="196"/>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w:t>
      </w:r>
      <w:r>
        <w:rPr>
          <w:rFonts w:hint="eastAsia" w:ascii="宋体" w:hAnsi="宋体" w:eastAsia="宋体"/>
          <w:color w:val="auto"/>
          <w:sz w:val="24"/>
          <w:highlight w:val="none"/>
        </w:rPr>
        <w:t>谈判小组按照最后报价由低到高的顺序和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ascii="宋体" w:hAnsi="宋体" w:eastAsia="宋体"/>
          <w:color w:val="auto"/>
          <w:sz w:val="24"/>
          <w:highlight w:val="none"/>
        </w:rPr>
        <w:t>确定成交候选人，并标明排列顺序。</w:t>
      </w:r>
      <w:r>
        <w:rPr>
          <w:rFonts w:hint="eastAsia" w:asciiTheme="minorEastAsia" w:hAnsiTheme="minorEastAsia" w:eastAsiaTheme="minorEastAsia"/>
          <w:color w:val="auto"/>
          <w:sz w:val="24"/>
          <w:highlight w:val="none"/>
        </w:rPr>
        <w:t>按</w:t>
      </w:r>
      <w:r>
        <w:rPr>
          <w:rFonts w:hint="eastAsia" w:asciiTheme="minorEastAsia" w:hAnsiTheme="minorEastAsia" w:eastAsiaTheme="minorEastAsia"/>
          <w:color w:val="auto"/>
          <w:sz w:val="24"/>
          <w:highlight w:val="none"/>
          <w:u w:val="single"/>
          <w:lang w:val="en-US" w:eastAsia="zh-CN"/>
        </w:rPr>
        <w:t>供应商</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w:t>
      </w:r>
      <w:r>
        <w:rPr>
          <w:rFonts w:hint="eastAsia" w:asciiTheme="minorEastAsia" w:hAnsiTheme="minorEastAsia" w:eastAsiaTheme="minorEastAsia"/>
          <w:color w:val="auto"/>
          <w:sz w:val="24"/>
          <w:highlight w:val="none"/>
          <w:lang w:val="en-US" w:eastAsia="zh-CN"/>
        </w:rPr>
        <w:t>谈判小组</w:t>
      </w:r>
      <w:r>
        <w:rPr>
          <w:rFonts w:asciiTheme="minorEastAsia" w:hAnsiTheme="minorEastAsia" w:eastAsiaTheme="minorEastAsia"/>
          <w:color w:val="auto"/>
          <w:sz w:val="24"/>
          <w:highlight w:val="none"/>
        </w:rPr>
        <w:t>或采购人确定</w:t>
      </w:r>
      <w:r>
        <w:rPr>
          <w:rFonts w:hint="eastAsia" w:asciiTheme="minorEastAsia" w:hAnsiTheme="minorEastAsia" w:eastAsiaTheme="minorEastAsia"/>
          <w:color w:val="auto"/>
          <w:sz w:val="24"/>
          <w:highlight w:val="none"/>
          <w:lang w:val="en-US" w:eastAsia="zh-CN"/>
        </w:rPr>
        <w:t>成交供应商</w:t>
      </w:r>
      <w:r>
        <w:rPr>
          <w:rFonts w:asciiTheme="minorEastAsia" w:hAnsiTheme="minorEastAsia" w:eastAsiaTheme="minorEastAsia"/>
          <w:color w:val="auto"/>
          <w:sz w:val="24"/>
          <w:highlight w:val="none"/>
        </w:rPr>
        <w:t>。</w:t>
      </w:r>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1评审报告是根据全体谈判小组成员签字的原始评审记录和评审结果编写的报告，评审报告由谈判小组全体成员签字。对评审结论持有异议的谈判小组成员可以书面方式阐述其不同意见和理由。谈判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.1评审将在严格保密的情况下进行。</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w:t>
      </w:r>
      <w:r>
        <w:rPr>
          <w:rFonts w:hint="eastAsia" w:ascii="宋体" w:hAnsi="宋体" w:eastAsia="宋体"/>
          <w:color w:val="auto"/>
          <w:sz w:val="24"/>
          <w:highlight w:val="none"/>
        </w:rPr>
        <w:t>评审</w:t>
      </w:r>
      <w:r>
        <w:rPr>
          <w:rFonts w:ascii="宋体" w:hAnsi="宋体" w:eastAsia="宋体"/>
          <w:color w:val="auto"/>
          <w:sz w:val="24"/>
          <w:highlight w:val="none"/>
        </w:rPr>
        <w:t>工作纪律，不得</w:t>
      </w:r>
      <w:r>
        <w:rPr>
          <w:rFonts w:hint="eastAsia" w:ascii="宋体" w:hAnsi="宋体" w:eastAsia="宋体"/>
          <w:color w:val="auto"/>
          <w:sz w:val="24"/>
          <w:highlight w:val="none"/>
        </w:rPr>
        <w:t>泄露评审文件</w:t>
      </w:r>
      <w:r>
        <w:rPr>
          <w:rFonts w:ascii="宋体" w:hAnsi="宋体" w:eastAsia="宋体"/>
          <w:color w:val="auto"/>
          <w:sz w:val="24"/>
          <w:highlight w:val="none"/>
        </w:rPr>
        <w:t>、</w:t>
      </w:r>
      <w:r>
        <w:rPr>
          <w:rFonts w:hint="eastAsia" w:ascii="宋体" w:hAnsi="宋体" w:eastAsia="宋体"/>
          <w:color w:val="auto"/>
          <w:sz w:val="24"/>
          <w:highlight w:val="none"/>
        </w:rPr>
        <w:t>评审</w:t>
      </w:r>
      <w:r>
        <w:rPr>
          <w:rFonts w:ascii="宋体" w:hAnsi="宋体" w:eastAsia="宋体"/>
          <w:color w:val="auto"/>
          <w:sz w:val="24"/>
          <w:highlight w:val="none"/>
        </w:rPr>
        <w:t>情况和</w:t>
      </w:r>
      <w:r>
        <w:rPr>
          <w:rFonts w:hint="eastAsia" w:ascii="宋体" w:hAnsi="宋体" w:eastAsia="宋体"/>
          <w:color w:val="auto"/>
          <w:sz w:val="24"/>
          <w:highlight w:val="none"/>
        </w:rPr>
        <w:t>评审</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.1为体现“公开、公平、公正”的原则，谈判结束后，</w:t>
      </w:r>
      <w:r>
        <w:rPr>
          <w:rFonts w:hint="eastAsia" w:asciiTheme="minorEastAsia" w:hAnsiTheme="minorEastAsia" w:eastAsiaTheme="minorEastAsia"/>
          <w:color w:val="auto"/>
          <w:sz w:val="24"/>
          <w:highlight w:val="none"/>
        </w:rPr>
        <w:t>采购代理机构将</w:t>
      </w:r>
      <w:r>
        <w:rPr>
          <w:rFonts w:hint="eastAsia" w:ascii="宋体" w:hAnsi="宋体" w:eastAsia="宋体"/>
          <w:color w:val="auto"/>
          <w:sz w:val="24"/>
          <w:szCs w:val="18"/>
          <w:highlight w:val="none"/>
        </w:rPr>
        <w:t>在安徽省政府采购网（www.ccgp-anhui.gov.cn）上</w:t>
      </w:r>
      <w:r>
        <w:rPr>
          <w:rFonts w:asciiTheme="minorEastAsia" w:hAnsiTheme="minorEastAsia" w:eastAsiaTheme="minorEastAsia"/>
          <w:color w:val="auto"/>
          <w:sz w:val="24"/>
          <w:highlight w:val="none"/>
        </w:rPr>
        <w:t>发布成交结果公告。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主要成交标的的名称、规格型号、数量、单价、服务要求，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rFonts w:ascii="宋体" w:hAnsi="宋体" w:eastAsia="宋体"/>
          <w:b/>
          <w:color w:val="auto"/>
          <w:sz w:val="24"/>
          <w:highlight w:val="none"/>
        </w:rPr>
      </w:pPr>
      <w:r>
        <w:rPr>
          <w:rFonts w:ascii="宋体" w:hAnsi="宋体" w:eastAsia="宋体"/>
          <w:b/>
          <w:color w:val="auto"/>
          <w:sz w:val="24"/>
          <w:highlight w:val="none"/>
        </w:rPr>
        <w:t>2</w:t>
      </w:r>
      <w:r>
        <w:rPr>
          <w:rFonts w:hint="eastAsia" w:ascii="宋体" w:hAnsi="宋体" w:eastAsia="宋体"/>
          <w:b/>
          <w:color w:val="auto"/>
          <w:sz w:val="24"/>
          <w:highlight w:val="none"/>
          <w:lang w:val="en-US" w:eastAsia="zh-CN"/>
        </w:rPr>
        <w:t>3</w:t>
      </w:r>
      <w:r>
        <w:rPr>
          <w:rFonts w:ascii="宋体" w:hAnsi="宋体" w:eastAsia="宋体"/>
          <w:b/>
          <w:color w:val="auto"/>
          <w:sz w:val="24"/>
          <w:highlight w:val="none"/>
        </w:rPr>
        <w:t>.成交通知书</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ascii="宋体" w:hAnsi="宋体" w:eastAsia="宋体"/>
          <w:color w:val="auto"/>
          <w:sz w:val="24"/>
          <w:highlight w:val="none"/>
        </w:rPr>
        <w:t>向成交供应商发出成交通知书。</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.2成交通知书对采购人和成交供应商具有同等法律效力。成交通知书发出以后，采购人改变成交结果或者成交供应商放弃成交资格，应当承担相应的法律责任。</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.3成交通知书是合同的组成部分。</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rPr>
        <w:t>2</w:t>
      </w:r>
      <w:r>
        <w:rPr>
          <w:rFonts w:hint="eastAsia" w:ascii="宋体" w:hAnsi="宋体" w:eastAsia="宋体"/>
          <w:b/>
          <w:color w:val="auto"/>
          <w:sz w:val="24"/>
          <w:highlight w:val="none"/>
          <w:lang w:val="en-US" w:eastAsia="zh-CN"/>
        </w:rPr>
        <w:t>4</w:t>
      </w:r>
      <w:r>
        <w:rPr>
          <w:rFonts w:ascii="宋体" w:hAnsi="宋体" w:eastAsia="宋体"/>
          <w:b/>
          <w:color w:val="auto"/>
          <w:sz w:val="24"/>
          <w:highlight w:val="none"/>
        </w:rPr>
        <w:t>.告知</w:t>
      </w:r>
      <w:r>
        <w:rPr>
          <w:rFonts w:hint="eastAsia" w:ascii="宋体" w:hAnsi="宋体" w:eastAsia="宋体"/>
          <w:b/>
          <w:color w:val="auto"/>
          <w:sz w:val="24"/>
          <w:highlight w:val="none"/>
        </w:rPr>
        <w:t>谈判</w:t>
      </w:r>
      <w:r>
        <w:rPr>
          <w:rFonts w:ascii="宋体" w:hAnsi="宋体" w:eastAsia="宋体"/>
          <w:b/>
          <w:color w:val="auto"/>
          <w:sz w:val="24"/>
          <w:highlight w:val="none"/>
        </w:rPr>
        <w:t>结果</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.1在公告成交结果的同时，采购代理机构同时以</w:t>
      </w:r>
      <w:r>
        <w:rPr>
          <w:rFonts w:hint="eastAsia" w:ascii="宋体" w:hAnsi="宋体" w:eastAsia="宋体" w:cs="宋体"/>
          <w:color w:val="auto"/>
          <w:sz w:val="24"/>
          <w:szCs w:val="24"/>
          <w:highlight w:val="none"/>
          <w:u w:val="single"/>
        </w:rPr>
        <w:t>供应商须知前附表</w:t>
      </w:r>
      <w:r>
        <w:rPr>
          <w:rFonts w:hint="eastAsia" w:ascii="宋体" w:hAnsi="宋体" w:eastAsia="宋体" w:cs="宋体"/>
          <w:color w:val="auto"/>
          <w:sz w:val="24"/>
          <w:szCs w:val="24"/>
          <w:highlight w:val="none"/>
        </w:rPr>
        <w:t>规定的形式告知未成交供应商本人的排序。</w:t>
      </w:r>
    </w:p>
    <w:p>
      <w:pPr>
        <w:spacing w:line="360" w:lineRule="auto"/>
        <w:ind w:firstLine="435"/>
        <w:rPr>
          <w:rFonts w:ascii="宋体" w:hAnsi="宋体" w:eastAsia="宋体"/>
          <w:color w:val="auto"/>
          <w:sz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采购代理机构对未成交的供应商不做未成交原因的解释。</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25</w:t>
      </w:r>
      <w:r>
        <w:rPr>
          <w:rFonts w:ascii="宋体" w:hAnsi="宋体" w:eastAsia="宋体"/>
          <w:b/>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.1成交供应商应按照</w:t>
      </w:r>
      <w:r>
        <w:rPr>
          <w:rFonts w:ascii="宋体" w:hAnsi="宋体" w:eastAsia="宋体"/>
          <w:color w:val="auto"/>
          <w:sz w:val="24"/>
          <w:highlight w:val="none"/>
          <w:u w:val="single"/>
        </w:rPr>
        <w:t>供应商须知前附表</w:t>
      </w:r>
      <w:r>
        <w:rPr>
          <w:rFonts w:ascii="宋体" w:hAnsi="宋体" w:eastAsia="宋体"/>
          <w:color w:val="auto"/>
          <w:sz w:val="24"/>
          <w:highlight w:val="none"/>
        </w:rPr>
        <w:t>规定</w:t>
      </w:r>
      <w:r>
        <w:rPr>
          <w:rFonts w:hint="eastAsia" w:ascii="宋体" w:hAnsi="宋体" w:eastAsia="宋体"/>
          <w:color w:val="auto"/>
          <w:sz w:val="24"/>
          <w:highlight w:val="none"/>
        </w:rPr>
        <w:t>缴纳</w:t>
      </w:r>
      <w:r>
        <w:rPr>
          <w:rFonts w:ascii="宋体" w:hAnsi="宋体" w:eastAsia="宋体"/>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.2如果成交供应商没有按照上述履约保证金的规定执行，将视为放弃成交资格。在此情况下，采购人可确定下一成交候选人为成交供应商，也可以重新开展采购活动。</w:t>
      </w:r>
    </w:p>
    <w:p>
      <w:pPr>
        <w:spacing w:line="360" w:lineRule="auto"/>
        <w:ind w:firstLine="437"/>
        <w:outlineLvl w:val="2"/>
        <w:rPr>
          <w:rFonts w:hint="eastAsia" w:ascii="宋体" w:hAnsi="宋体" w:eastAsia="宋体"/>
          <w:b/>
          <w:color w:val="auto"/>
          <w:sz w:val="24"/>
          <w:highlight w:val="none"/>
          <w:lang w:eastAsia="zh-CN"/>
        </w:rPr>
      </w:pPr>
      <w:r>
        <w:rPr>
          <w:rFonts w:hint="eastAsia" w:ascii="宋体" w:hAnsi="宋体" w:eastAsia="宋体"/>
          <w:b/>
          <w:color w:val="auto"/>
          <w:sz w:val="24"/>
          <w:highlight w:val="none"/>
          <w:lang w:val="en-US" w:eastAsia="zh-CN"/>
        </w:rPr>
        <w:t>26</w:t>
      </w:r>
      <w:r>
        <w:rPr>
          <w:rFonts w:ascii="宋体" w:hAnsi="宋体" w:eastAsia="宋体"/>
          <w:b/>
          <w:color w:val="auto"/>
          <w:sz w:val="24"/>
          <w:highlight w:val="none"/>
        </w:rPr>
        <w:t>.</w:t>
      </w:r>
      <w:r>
        <w:rPr>
          <w:rFonts w:hint="eastAsia" w:ascii="宋体" w:hAnsi="宋体" w:eastAsia="宋体"/>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26</w:t>
      </w:r>
      <w:r>
        <w:rPr>
          <w:rFonts w:ascii="宋体" w:hAnsi="宋体" w:eastAsia="宋体"/>
          <w:color w:val="auto"/>
          <w:sz w:val="24"/>
          <w:highlight w:val="none"/>
        </w:rPr>
        <w:t>.1本项目</w:t>
      </w:r>
      <w:r>
        <w:rPr>
          <w:rFonts w:hint="eastAsia" w:ascii="宋体" w:hAnsi="宋体" w:eastAsia="宋体"/>
          <w:color w:val="auto"/>
          <w:sz w:val="24"/>
          <w:highlight w:val="none"/>
          <w:lang w:val="en-US" w:eastAsia="zh-CN"/>
        </w:rPr>
        <w:t>代理费用</w:t>
      </w:r>
      <w:r>
        <w:rPr>
          <w:rFonts w:ascii="宋体" w:hAnsi="宋体" w:eastAsia="宋体"/>
          <w:color w:val="auto"/>
          <w:sz w:val="24"/>
          <w:highlight w:val="none"/>
        </w:rPr>
        <w:t>的收取按</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的规定执行。</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27</w:t>
      </w:r>
      <w:r>
        <w:rPr>
          <w:rFonts w:ascii="宋体" w:hAnsi="宋体" w:eastAsia="宋体"/>
          <w:b/>
          <w:color w:val="auto"/>
          <w:sz w:val="24"/>
          <w:highlight w:val="none"/>
        </w:rPr>
        <w:t>.签订合同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.2谈判文件、成交供应商的响应文件及其澄清文件等，均为签订合同的依据。</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.3 成交供应商拒绝与采购人签订合同的，采购人可以按照评审报告推荐的成交候选人名单排序，确定下一成交候选人为成交供应商，也可以重新开展采购活动。</w:t>
      </w:r>
      <w:r>
        <w:rPr>
          <w:rFonts w:hint="eastAsia" w:ascii="宋体" w:hAnsi="宋体" w:eastAsia="宋体"/>
          <w:color w:val="auto"/>
          <w:sz w:val="24"/>
          <w:highlight w:val="none"/>
        </w:rPr>
        <w:t>成交供应商拒绝签订政府采购合同的不得参加对该项目重新开展的采购活动。</w:t>
      </w:r>
    </w:p>
    <w:p>
      <w:pPr>
        <w:spacing w:line="360" w:lineRule="auto"/>
        <w:ind w:firstLine="435"/>
        <w:rPr>
          <w:rFonts w:ascii="宋体" w:hAnsi="宋体" w:eastAsia="宋体"/>
          <w:color w:val="auto"/>
          <w:sz w:val="24"/>
          <w:highlight w:val="none"/>
        </w:rPr>
      </w:pPr>
      <w:bookmarkStart w:id="31" w:name="_Hlk60264926"/>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w:t>
      </w:r>
      <w:r>
        <w:rPr>
          <w:rFonts w:ascii="宋体" w:hAnsi="宋体" w:eastAsia="宋体"/>
          <w:color w:val="auto"/>
          <w:sz w:val="24"/>
          <w:highlight w:val="none"/>
        </w:rPr>
        <w:t>4</w:t>
      </w:r>
      <w:r>
        <w:rPr>
          <w:rFonts w:hint="eastAsia" w:ascii="宋体" w:hAnsi="宋体" w:eastAsia="宋体"/>
          <w:color w:val="auto"/>
          <w:sz w:val="24"/>
          <w:highlight w:val="none"/>
        </w:rPr>
        <w:t>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bookmarkEnd w:id="31"/>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28</w:t>
      </w:r>
      <w:r>
        <w:rPr>
          <w:rFonts w:ascii="宋体" w:hAnsi="宋体" w:eastAsia="宋体"/>
          <w:b/>
          <w:color w:val="auto"/>
          <w:sz w:val="24"/>
          <w:highlight w:val="none"/>
        </w:rPr>
        <w:t>.廉洁自律规定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.1采购代理机构工作人员不得以不正当手段获取政府采购代理业务，不得与采购人、供应商恶意串通。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.2采购代理机构工作人员不得接受采购人或者供应商组织的宴请、旅游、娱乐，不得收受礼品、现金、有价证券等，不得向采购人或者供应商报销应当由个人承担的费用。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29</w:t>
      </w:r>
      <w:r>
        <w:rPr>
          <w:rFonts w:ascii="宋体" w:hAnsi="宋体" w:eastAsia="宋体"/>
          <w:b/>
          <w:color w:val="auto"/>
          <w:sz w:val="24"/>
          <w:highlight w:val="none"/>
        </w:rPr>
        <w:t>.质疑的</w:t>
      </w:r>
      <w:r>
        <w:rPr>
          <w:rFonts w:asciiTheme="minorEastAsia" w:hAnsiTheme="minorEastAsia" w:eastAsiaTheme="minorEastAsia"/>
          <w:b/>
          <w:color w:val="auto"/>
          <w:sz w:val="24"/>
          <w:highlight w:val="none"/>
        </w:rPr>
        <w:t>提出</w:t>
      </w:r>
      <w:r>
        <w:rPr>
          <w:rFonts w:ascii="宋体" w:hAnsi="宋体" w:eastAsia="宋体"/>
          <w:b/>
          <w:color w:val="auto"/>
          <w:sz w:val="24"/>
          <w:highlight w:val="none"/>
        </w:rPr>
        <w:t>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.1供应商认为谈判文件、采购过程和成交结果使自己的权益受到损害的，可以在知道或者应知其权益受到损害之日起七个工作日内，以书面形式向采购人或其委托的采购代理机构提出质疑。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质疑函范本》格式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30</w:t>
      </w:r>
      <w:r>
        <w:rPr>
          <w:rFonts w:ascii="宋体" w:hAnsi="宋体" w:eastAsia="宋体"/>
          <w:b/>
          <w:color w:val="auto"/>
          <w:sz w:val="24"/>
          <w:highlight w:val="none"/>
        </w:rPr>
        <w:t>.需要补充的其他内容</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需要补充的其他内容，见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widowControl/>
        <w:jc w:val="left"/>
        <w:rPr>
          <w:rFonts w:ascii="宋体" w:hAnsi="宋体" w:eastAsia="宋体"/>
          <w:color w:val="auto"/>
          <w:sz w:val="24"/>
          <w:highlight w:val="none"/>
        </w:rPr>
      </w:pPr>
      <w:r>
        <w:rPr>
          <w:rFonts w:ascii="宋体" w:hAnsi="宋体" w:eastAsia="宋体"/>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32" w:name="_Toc25461"/>
      <w:r>
        <w:rPr>
          <w:rFonts w:hint="eastAsia" w:asciiTheme="minorEastAsia" w:hAnsiTheme="minorEastAsia" w:eastAsiaTheme="minorEastAsia"/>
          <w:b/>
          <w:color w:val="auto"/>
          <w:sz w:val="28"/>
          <w:highlight w:val="none"/>
        </w:rPr>
        <w:t>第三章  采购需求</w:t>
      </w:r>
      <w:bookmarkEnd w:id="32"/>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80" w:firstLineChars="200"/>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1.</w:t>
      </w:r>
      <w:r>
        <w:rPr>
          <w:rFonts w:ascii="宋体" w:hAnsi="宋体" w:eastAsia="宋体"/>
          <w:color w:val="auto"/>
          <w:sz w:val="24"/>
          <w:szCs w:val="18"/>
          <w:highlight w:val="none"/>
        </w:rPr>
        <w:t>根据《</w:t>
      </w:r>
      <w:r>
        <w:rPr>
          <w:rFonts w:hint="eastAsia" w:ascii="宋体" w:hAnsi="宋体" w:eastAsia="宋体"/>
          <w:color w:val="auto"/>
          <w:sz w:val="24"/>
          <w:szCs w:val="18"/>
          <w:highlight w:val="none"/>
        </w:rPr>
        <w:t>政府采购进口产品管理办法</w:t>
      </w:r>
      <w:r>
        <w:rPr>
          <w:rFonts w:ascii="宋体" w:hAnsi="宋体" w:eastAsia="宋体"/>
          <w:color w:val="auto"/>
          <w:sz w:val="24"/>
          <w:szCs w:val="18"/>
          <w:highlight w:val="none"/>
        </w:rPr>
        <w:t>》及政府采购管理部门的相关规定，下列采购需求中</w:t>
      </w:r>
      <w:r>
        <w:rPr>
          <w:rFonts w:hint="eastAsia" w:ascii="宋体" w:hAnsi="宋体" w:eastAsia="宋体"/>
          <w:color w:val="auto"/>
          <w:sz w:val="24"/>
          <w:szCs w:val="18"/>
          <w:highlight w:val="none"/>
        </w:rPr>
        <w:t>标注进口产品的货物均</w:t>
      </w:r>
      <w:r>
        <w:rPr>
          <w:rFonts w:ascii="宋体" w:hAnsi="宋体" w:eastAsia="宋体"/>
          <w:color w:val="auto"/>
          <w:sz w:val="24"/>
          <w:szCs w:val="18"/>
          <w:highlight w:val="none"/>
        </w:rPr>
        <w:t>已履行相关论证手续，经核准采购进口</w:t>
      </w:r>
      <w:r>
        <w:rPr>
          <w:rFonts w:hint="eastAsia" w:ascii="宋体" w:hAnsi="宋体" w:eastAsia="宋体"/>
          <w:color w:val="auto"/>
          <w:sz w:val="24"/>
          <w:szCs w:val="18"/>
          <w:highlight w:val="none"/>
        </w:rPr>
        <w:t>产品</w:t>
      </w:r>
      <w:r>
        <w:rPr>
          <w:rFonts w:ascii="宋体" w:hAnsi="宋体" w:eastAsia="宋体"/>
          <w:color w:val="auto"/>
          <w:sz w:val="24"/>
          <w:szCs w:val="18"/>
          <w:highlight w:val="none"/>
        </w:rPr>
        <w:t>，但不限制满足</w:t>
      </w:r>
      <w:r>
        <w:rPr>
          <w:rFonts w:hint="eastAsia" w:ascii="宋体" w:hAnsi="宋体" w:eastAsia="宋体"/>
          <w:color w:val="auto"/>
          <w:sz w:val="24"/>
          <w:szCs w:val="18"/>
          <w:highlight w:val="none"/>
        </w:rPr>
        <w:t>谈判</w:t>
      </w:r>
      <w:r>
        <w:rPr>
          <w:rFonts w:ascii="宋体" w:hAnsi="宋体" w:eastAsia="宋体"/>
          <w:color w:val="auto"/>
          <w:sz w:val="24"/>
          <w:szCs w:val="18"/>
          <w:highlight w:val="none"/>
        </w:rPr>
        <w:t>文件要求的国内产品参与竞争</w:t>
      </w:r>
      <w:r>
        <w:rPr>
          <w:rFonts w:hint="eastAsia" w:ascii="宋体" w:hAnsi="宋体" w:eastAsia="宋体"/>
          <w:color w:val="auto"/>
          <w:sz w:val="24"/>
          <w:szCs w:val="18"/>
          <w:highlight w:val="none"/>
        </w:rPr>
        <w:t>。未标注进口产品的货物均</w:t>
      </w:r>
      <w:r>
        <w:rPr>
          <w:rFonts w:ascii="宋体" w:hAnsi="宋体" w:eastAsia="宋体"/>
          <w:color w:val="auto"/>
          <w:sz w:val="24"/>
          <w:szCs w:val="18"/>
          <w:highlight w:val="none"/>
        </w:rPr>
        <w:t>为拒绝采购进口产品</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olor w:val="auto"/>
          <w:sz w:val="24"/>
          <w:szCs w:val="18"/>
          <w:highlight w:val="yellow"/>
        </w:rPr>
      </w:pPr>
      <w:r>
        <w:rPr>
          <w:rFonts w:hint="eastAsia" w:ascii="宋体" w:hAnsi="宋体" w:eastAsia="宋体" w:cs="宋体"/>
          <w:color w:val="auto"/>
          <w:sz w:val="24"/>
          <w:szCs w:val="24"/>
          <w:highlight w:val="none"/>
        </w:rPr>
        <w:t>2.</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投标人所投产品须具有市场监管总局公布的《参与实施政府采购节能产品认证机构目录》中的认证机构出具的、处于有效期内的节能产品认证证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投标人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olor w:val="auto"/>
          <w:sz w:val="24"/>
          <w:szCs w:val="18"/>
        </w:rPr>
        <w:t>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33" w:name="_Toc20480"/>
      <w:bookmarkStart w:id="34" w:name="_Toc26457"/>
      <w:r>
        <w:rPr>
          <w:rFonts w:hint="eastAsia" w:ascii="宋体" w:hAnsi="宋体" w:eastAsia="宋体"/>
          <w:b/>
          <w:color w:val="auto"/>
          <w:sz w:val="24"/>
          <w:szCs w:val="18"/>
          <w:highlight w:val="none"/>
        </w:rPr>
        <w:t>一、采购需求前附表</w:t>
      </w:r>
      <w:bookmarkEnd w:id="33"/>
      <w:bookmarkEnd w:id="34"/>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6"/>
        <w:gridCol w:w="2032"/>
        <w:gridCol w:w="5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r>
              <w:rPr>
                <w:rFonts w:hint="eastAsia" w:ascii="宋体" w:hAnsi="宋体" w:eastAsia="宋体"/>
                <w:b/>
                <w:color w:val="auto"/>
                <w:kern w:val="2"/>
                <w:highlight w:val="none"/>
              </w:rPr>
              <w:t>序号</w:t>
            </w:r>
          </w:p>
        </w:tc>
        <w:tc>
          <w:tcPr>
            <w:tcW w:w="1192" w:type="pct"/>
            <w:vAlign w:val="center"/>
          </w:tcPr>
          <w:p>
            <w:pPr>
              <w:pStyle w:val="28"/>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3216" w:type="pct"/>
            <w:vAlign w:val="center"/>
          </w:tcPr>
          <w:p>
            <w:pPr>
              <w:pStyle w:val="28"/>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1192" w:type="pct"/>
            <w:vAlign w:val="center"/>
          </w:tcPr>
          <w:p>
            <w:pPr>
              <w:pStyle w:val="28"/>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3216"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1192" w:type="pct"/>
            <w:vAlign w:val="center"/>
          </w:tcPr>
          <w:p>
            <w:pPr>
              <w:pStyle w:val="28"/>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供货及安装地点</w:t>
            </w:r>
          </w:p>
        </w:tc>
        <w:tc>
          <w:tcPr>
            <w:tcW w:w="3216"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1192" w:type="pct"/>
            <w:vAlign w:val="center"/>
          </w:tcPr>
          <w:p>
            <w:pPr>
              <w:pStyle w:val="28"/>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供货及安装期限</w:t>
            </w:r>
          </w:p>
        </w:tc>
        <w:tc>
          <w:tcPr>
            <w:tcW w:w="3216"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4</w:t>
            </w:r>
          </w:p>
        </w:tc>
        <w:tc>
          <w:tcPr>
            <w:tcW w:w="1192" w:type="pct"/>
            <w:vAlign w:val="center"/>
          </w:tcPr>
          <w:p>
            <w:pPr>
              <w:pStyle w:val="28"/>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免费质保期</w:t>
            </w:r>
          </w:p>
        </w:tc>
        <w:tc>
          <w:tcPr>
            <w:tcW w:w="3216"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9"/>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5</w:t>
            </w:r>
          </w:p>
        </w:tc>
        <w:tc>
          <w:tcPr>
            <w:tcW w:w="1192" w:type="pct"/>
            <w:vAlign w:val="center"/>
          </w:tcPr>
          <w:p>
            <w:pPr>
              <w:pStyle w:val="28"/>
              <w:widowControl w:val="0"/>
              <w:spacing w:before="0" w:beforeAutospacing="0" w:after="0" w:afterAutospacing="0" w:line="360" w:lineRule="auto"/>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w:t>
            </w:r>
          </w:p>
        </w:tc>
        <w:tc>
          <w:tcPr>
            <w:tcW w:w="3216" w:type="pct"/>
            <w:vAlign w:val="center"/>
          </w:tcPr>
          <w:p>
            <w:pPr>
              <w:pStyle w:val="28"/>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w:t>
            </w:r>
          </w:p>
        </w:tc>
      </w:tr>
    </w:tbl>
    <w:p>
      <w:pPr>
        <w:spacing w:line="360" w:lineRule="auto"/>
        <w:ind w:firstLine="437"/>
        <w:outlineLvl w:val="1"/>
        <w:rPr>
          <w:rFonts w:ascii="宋体" w:hAnsi="宋体" w:eastAsia="宋体"/>
          <w:b/>
          <w:bCs/>
          <w:color w:val="auto"/>
          <w:sz w:val="24"/>
          <w:szCs w:val="18"/>
          <w:highlight w:val="none"/>
        </w:rPr>
      </w:pPr>
      <w:bookmarkStart w:id="35" w:name="_Toc25805"/>
      <w:bookmarkStart w:id="36" w:name="_Toc8981"/>
      <w:r>
        <w:rPr>
          <w:rFonts w:hint="eastAsia" w:ascii="宋体" w:hAnsi="宋体" w:eastAsia="宋体"/>
          <w:b/>
          <w:bCs/>
          <w:color w:val="auto"/>
          <w:sz w:val="24"/>
          <w:szCs w:val="18"/>
          <w:highlight w:val="none"/>
        </w:rPr>
        <w:t>二、货物需求</w:t>
      </w:r>
      <w:bookmarkEnd w:id="35"/>
      <w:bookmarkEnd w:id="36"/>
    </w:p>
    <w:tbl>
      <w:tblPr>
        <w:tblStyle w:val="21"/>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1259"/>
        <w:gridCol w:w="2897"/>
        <w:gridCol w:w="1022"/>
        <w:gridCol w:w="717"/>
        <w:gridCol w:w="1133"/>
        <w:gridCol w:w="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序号</w:t>
            </w:r>
          </w:p>
        </w:tc>
        <w:tc>
          <w:tcPr>
            <w:tcW w:w="739"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货物名称</w:t>
            </w:r>
          </w:p>
        </w:tc>
        <w:tc>
          <w:tcPr>
            <w:tcW w:w="1700"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技术参数及要求</w:t>
            </w:r>
          </w:p>
        </w:tc>
        <w:tc>
          <w:tcPr>
            <w:tcW w:w="600"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数量（单位）</w:t>
            </w:r>
          </w:p>
        </w:tc>
        <w:tc>
          <w:tcPr>
            <w:tcW w:w="421"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所属行业</w:t>
            </w:r>
          </w:p>
        </w:tc>
        <w:tc>
          <w:tcPr>
            <w:tcW w:w="665" w:type="pct"/>
            <w:vAlign w:val="center"/>
          </w:tcPr>
          <w:p>
            <w:pPr>
              <w:spacing w:line="360" w:lineRule="auto"/>
              <w:jc w:val="center"/>
              <w:rPr>
                <w:rFonts w:hint="default" w:ascii="宋体" w:hAnsi="宋体" w:eastAsia="宋体"/>
                <w:b/>
                <w:bCs/>
                <w:color w:val="auto"/>
                <w:sz w:val="24"/>
                <w:szCs w:val="18"/>
                <w:highlight w:val="none"/>
                <w:lang w:val="en-US" w:eastAsia="zh-CN"/>
              </w:rPr>
            </w:pPr>
            <w:r>
              <w:rPr>
                <w:rFonts w:hint="eastAsia" w:ascii="宋体" w:hAnsi="宋体" w:eastAsia="宋体"/>
                <w:b/>
                <w:bCs/>
                <w:color w:val="auto"/>
                <w:sz w:val="24"/>
                <w:szCs w:val="18"/>
                <w:highlight w:val="none"/>
                <w:lang w:val="en-US" w:eastAsia="zh-CN"/>
              </w:rPr>
              <w:t>是否为核心产品</w:t>
            </w:r>
          </w:p>
        </w:tc>
        <w:tc>
          <w:tcPr>
            <w:tcW w:w="479"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5</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6</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7</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8</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9</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10</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bl>
    <w:p>
      <w:pPr>
        <w:spacing w:line="360" w:lineRule="auto"/>
        <w:ind w:firstLine="437"/>
        <w:outlineLvl w:val="1"/>
        <w:rPr>
          <w:rFonts w:ascii="宋体" w:hAnsi="宋体" w:eastAsia="宋体"/>
          <w:b/>
          <w:bCs/>
          <w:color w:val="auto"/>
          <w:sz w:val="24"/>
          <w:szCs w:val="18"/>
          <w:highlight w:val="none"/>
        </w:rPr>
      </w:pPr>
      <w:bookmarkStart w:id="37" w:name="_Toc18135"/>
      <w:bookmarkStart w:id="38" w:name="_Toc16712"/>
      <w:r>
        <w:rPr>
          <w:rFonts w:hint="eastAsia" w:ascii="宋体" w:hAnsi="宋体" w:eastAsia="宋体"/>
          <w:b/>
          <w:bCs/>
          <w:color w:val="auto"/>
          <w:sz w:val="24"/>
          <w:szCs w:val="18"/>
          <w:highlight w:val="none"/>
        </w:rPr>
        <w:t>三、报价要求</w:t>
      </w:r>
      <w:bookmarkEnd w:id="37"/>
      <w:bookmarkEnd w:id="38"/>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ascii="宋体" w:hAnsi="宋体" w:eastAsia="宋体"/>
          <w:b/>
          <w:bCs/>
          <w:color w:val="auto"/>
          <w:sz w:val="24"/>
          <w:szCs w:val="18"/>
          <w:highlight w:val="none"/>
        </w:rPr>
      </w:pPr>
      <w:bookmarkStart w:id="39" w:name="_Toc18721"/>
      <w:bookmarkStart w:id="40" w:name="_Toc3878"/>
      <w:r>
        <w:rPr>
          <w:rFonts w:hint="eastAsia" w:ascii="宋体" w:hAnsi="宋体" w:eastAsia="宋体"/>
          <w:b/>
          <w:bCs/>
          <w:color w:val="auto"/>
          <w:sz w:val="24"/>
          <w:szCs w:val="18"/>
          <w:highlight w:val="none"/>
        </w:rPr>
        <w:t>四、其他要求</w:t>
      </w:r>
      <w:bookmarkEnd w:id="39"/>
      <w:bookmarkEnd w:id="40"/>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hint="eastAsia" w:ascii="宋体" w:hAnsi="宋体" w:eastAsia="宋体"/>
          <w:b/>
          <w:bCs/>
          <w:color w:val="auto"/>
          <w:sz w:val="24"/>
          <w:szCs w:val="18"/>
          <w:highlight w:val="none"/>
          <w:lang w:eastAsia="zh-CN"/>
        </w:rPr>
      </w:pPr>
      <w:bookmarkStart w:id="41" w:name="_Toc20462"/>
      <w:bookmarkStart w:id="42" w:name="_Toc12838"/>
      <w:r>
        <w:rPr>
          <w:rFonts w:hint="eastAsia" w:ascii="宋体" w:hAnsi="宋体" w:eastAsia="宋体"/>
          <w:b/>
          <w:bCs/>
          <w:color w:val="auto"/>
          <w:sz w:val="24"/>
          <w:szCs w:val="18"/>
          <w:highlight w:val="none"/>
        </w:rPr>
        <w:t>五、样品要求</w:t>
      </w:r>
      <w:bookmarkEnd w:id="41"/>
      <w:r>
        <w:rPr>
          <w:rFonts w:hint="eastAsia" w:ascii="宋体" w:hAnsi="宋体" w:eastAsia="宋体"/>
          <w:b/>
          <w:bCs/>
          <w:color w:val="auto"/>
          <w:sz w:val="24"/>
          <w:szCs w:val="18"/>
          <w:highlight w:val="none"/>
          <w:lang w:eastAsia="zh-CN"/>
        </w:rPr>
        <w:t>（</w:t>
      </w:r>
      <w:r>
        <w:rPr>
          <w:rFonts w:hint="eastAsia" w:ascii="宋体" w:hAnsi="宋体" w:eastAsia="宋体"/>
          <w:b/>
          <w:bCs/>
          <w:color w:val="auto"/>
          <w:sz w:val="24"/>
          <w:szCs w:val="18"/>
          <w:highlight w:val="none"/>
          <w:lang w:val="en-US" w:eastAsia="zh-CN"/>
        </w:rPr>
        <w:t>如有</w:t>
      </w:r>
      <w:r>
        <w:rPr>
          <w:rFonts w:hint="eastAsia" w:ascii="宋体" w:hAnsi="宋体" w:eastAsia="宋体"/>
          <w:b/>
          <w:bCs/>
          <w:color w:val="auto"/>
          <w:sz w:val="24"/>
          <w:szCs w:val="18"/>
          <w:highlight w:val="none"/>
          <w:lang w:eastAsia="zh-CN"/>
        </w:rPr>
        <w:t>）</w:t>
      </w:r>
      <w:bookmarkEnd w:id="42"/>
    </w:p>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yellow"/>
        </w:rPr>
      </w:pPr>
      <w:bookmarkStart w:id="43" w:name="_Toc20811"/>
      <w:r>
        <w:rPr>
          <w:rFonts w:hint="eastAsia" w:asciiTheme="minorEastAsia" w:hAnsiTheme="minorEastAsia" w:eastAsiaTheme="minorEastAsia"/>
          <w:b/>
          <w:color w:val="auto"/>
          <w:sz w:val="28"/>
          <w:highlight w:val="none"/>
        </w:rPr>
        <w:t>第四章  评审方法和标准</w:t>
      </w:r>
      <w:bookmarkEnd w:id="43"/>
    </w:p>
    <w:p>
      <w:pPr>
        <w:spacing w:line="360" w:lineRule="auto"/>
        <w:ind w:firstLine="437"/>
        <w:outlineLvl w:val="1"/>
        <w:rPr>
          <w:rFonts w:asciiTheme="minorEastAsia" w:hAnsiTheme="minorEastAsia" w:eastAsiaTheme="minorEastAsia"/>
          <w:b/>
          <w:color w:val="auto"/>
          <w:sz w:val="24"/>
          <w:highlight w:val="none"/>
        </w:rPr>
      </w:pPr>
      <w:bookmarkStart w:id="44" w:name="_Toc5230"/>
      <w:bookmarkStart w:id="45" w:name="_Toc10142"/>
      <w:r>
        <w:rPr>
          <w:rFonts w:hint="eastAsia" w:asciiTheme="minorEastAsia" w:hAnsiTheme="minorEastAsia" w:eastAsiaTheme="minorEastAsia"/>
          <w:b/>
          <w:color w:val="auto"/>
          <w:sz w:val="24"/>
          <w:highlight w:val="none"/>
        </w:rPr>
        <w:t>一、总则</w:t>
      </w:r>
      <w:bookmarkEnd w:id="44"/>
      <w:bookmarkEnd w:id="45"/>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本项目将按照谈判文件第二章 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46" w:name="_Toc25812"/>
      <w:bookmarkStart w:id="47" w:name="_Toc30817"/>
      <w:r>
        <w:rPr>
          <w:rFonts w:hint="eastAsia" w:asciiTheme="minorEastAsia" w:hAnsiTheme="minorEastAsia" w:eastAsiaTheme="minorEastAsia"/>
          <w:b/>
          <w:color w:val="auto"/>
          <w:sz w:val="24"/>
          <w:highlight w:val="none"/>
        </w:rPr>
        <w:t>二、评审方法</w:t>
      </w:r>
      <w:bookmarkEnd w:id="46"/>
      <w:bookmarkEnd w:id="47"/>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谈判小组对供应商的响应文件进行初审，以确定其是否满足谈判文件的实质性要求。初审表如下：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1554"/>
        <w:gridCol w:w="4414"/>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bookmarkStart w:id="48" w:name="_Hlk60612144"/>
            <w:r>
              <w:rPr>
                <w:rFonts w:hint="eastAsia" w:ascii="宋体" w:hAnsi="宋体" w:eastAsia="宋体"/>
                <w:b/>
                <w:color w:val="auto"/>
                <w:sz w:val="24"/>
                <w:szCs w:val="22"/>
                <w:highlight w:val="none"/>
              </w:rPr>
              <w:t>初审表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12" w:type="pct"/>
            <w:tcBorders>
              <w:bottom w:val="single" w:color="auto" w:sz="4" w:space="0"/>
            </w:tcBorders>
            <w:vAlign w:val="center"/>
          </w:tcPr>
          <w:p>
            <w:pPr>
              <w:pStyle w:val="29"/>
              <w:pBdr>
                <w:bottom w:val="none" w:color="auto" w:sz="0" w:space="0"/>
              </w:pBdr>
              <w:tabs>
                <w:tab w:val="clear" w:pos="4153"/>
                <w:tab w:val="clear" w:pos="8306"/>
              </w:tabs>
              <w:snapToGrid w:val="0"/>
              <w:spacing w:line="360" w:lineRule="auto"/>
              <w:ind w:right="-10"/>
              <w:textAlignment w:val="auto"/>
              <w:rPr>
                <w:rFonts w:ascii="宋体" w:hAnsi="宋体" w:eastAsia="宋体"/>
                <w:color w:val="auto"/>
                <w:kern w:val="2"/>
                <w:szCs w:val="24"/>
                <w:highlight w:val="none"/>
              </w:rPr>
            </w:pPr>
            <w:r>
              <w:rPr>
                <w:rFonts w:hint="eastAsia" w:ascii="宋体" w:hAnsi="宋体" w:eastAsia="宋体"/>
                <w:color w:val="auto"/>
                <w:kern w:val="2"/>
                <w:szCs w:val="24"/>
                <w:highlight w:val="none"/>
                <w:lang w:val="en-US" w:eastAsia="zh-CN"/>
              </w:rPr>
              <w:t>审查</w:t>
            </w:r>
            <w:r>
              <w:rPr>
                <w:rFonts w:hint="eastAsia" w:ascii="宋体" w:hAnsi="宋体" w:eastAsia="宋体"/>
                <w:color w:val="auto"/>
                <w:kern w:val="2"/>
                <w:szCs w:val="24"/>
                <w:highlight w:val="none"/>
              </w:rPr>
              <w:t>指标</w:t>
            </w:r>
          </w:p>
        </w:tc>
        <w:tc>
          <w:tcPr>
            <w:tcW w:w="259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lang w:val="en-US" w:eastAsia="zh-CN"/>
              </w:rPr>
              <w:t>审查</w:t>
            </w:r>
            <w:r>
              <w:rPr>
                <w:rFonts w:hint="eastAsia" w:ascii="宋体" w:hAnsi="宋体" w:eastAsia="宋体"/>
                <w:color w:val="auto"/>
                <w:sz w:val="24"/>
                <w:highlight w:val="none"/>
              </w:rPr>
              <w:t>标准</w:t>
            </w:r>
          </w:p>
        </w:tc>
        <w:tc>
          <w:tcPr>
            <w:tcW w:w="108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1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590"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82"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olor w:val="auto"/>
                <w:sz w:val="24"/>
                <w:highlight w:val="none"/>
              </w:rPr>
              <w:t>参加</w:t>
            </w:r>
            <w:r>
              <w:rPr>
                <w:rFonts w:hint="eastAsia" w:ascii="宋体" w:hAnsi="宋体" w:eastAsia="宋体"/>
                <w:color w:val="auto"/>
                <w:sz w:val="24"/>
                <w:highlight w:val="none"/>
                <w:lang w:eastAsia="zh-CN"/>
              </w:rPr>
              <w:t>谈判</w:t>
            </w:r>
            <w:r>
              <w:rPr>
                <w:rFonts w:hint="eastAsia" w:ascii="宋体" w:hAnsi="宋体" w:eastAsia="宋体"/>
                <w:color w:val="auto"/>
                <w:sz w:val="24"/>
                <w:highlight w:val="none"/>
                <w:lang w:val="en-US" w:eastAsia="zh-CN"/>
              </w:rPr>
              <w:t>的</w:t>
            </w:r>
            <w:r>
              <w:rPr>
                <w:rFonts w:hint="eastAsia" w:ascii="宋体" w:hAnsi="宋体" w:eastAsia="宋体" w:cs="宋体"/>
                <w:b w:val="0"/>
                <w:bCs w:val="0"/>
                <w:color w:val="auto"/>
                <w:sz w:val="24"/>
                <w:szCs w:val="24"/>
                <w:highlight w:val="none"/>
              </w:rPr>
              <w:t>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12" w:type="pct"/>
            <w:tcBorders>
              <w:bottom w:val="single" w:color="auto" w:sz="4" w:space="0"/>
            </w:tcBorders>
            <w:vAlign w:val="center"/>
          </w:tcPr>
          <w:p>
            <w:pPr>
              <w:spacing w:after="50" w:line="360" w:lineRule="auto"/>
              <w:ind w:right="-10" w:rightChars="0"/>
              <w:jc w:val="center"/>
              <w:rPr>
                <w:rFonts w:hint="default" w:ascii="宋体" w:hAnsi="宋体" w:eastAsia="宋体" w:cs="@仿宋_GB2312"/>
                <w:color w:val="auto"/>
                <w:kern w:val="2"/>
                <w:sz w:val="24"/>
                <w:szCs w:val="28"/>
                <w:highlight w:val="none"/>
                <w:lang w:val="en-US" w:eastAsia="zh-CN" w:bidi="ar-SA"/>
              </w:rPr>
            </w:pPr>
            <w:r>
              <w:rPr>
                <w:rFonts w:hint="eastAsia" w:ascii="宋体" w:hAnsi="宋体" w:eastAsia="宋体"/>
                <w:color w:val="auto"/>
                <w:sz w:val="24"/>
                <w:szCs w:val="18"/>
                <w:highlight w:val="none"/>
                <w:lang w:val="en-US" w:eastAsia="zh-CN"/>
              </w:rPr>
              <w:t>供应商资格声明书</w:t>
            </w:r>
          </w:p>
        </w:tc>
        <w:tc>
          <w:tcPr>
            <w:tcW w:w="2590" w:type="pct"/>
            <w:tcBorders>
              <w:bottom w:val="single" w:color="auto" w:sz="4" w:space="0"/>
            </w:tcBorders>
            <w:vAlign w:val="center"/>
          </w:tcPr>
          <w:p>
            <w:pPr>
              <w:spacing w:after="50" w:line="360" w:lineRule="auto"/>
              <w:ind w:right="-10" w:rightChars="0"/>
              <w:jc w:val="left"/>
              <w:rPr>
                <w:rFonts w:hint="eastAsia"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谈判</w:t>
            </w:r>
            <w:r>
              <w:rPr>
                <w:rFonts w:ascii="宋体" w:hAnsi="宋体" w:eastAsia="宋体" w:cs="宋体"/>
                <w:sz w:val="24"/>
                <w:szCs w:val="24"/>
              </w:rPr>
              <w:t>文件要求的《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82" w:type="pct"/>
            <w:tcBorders>
              <w:bottom w:val="single" w:color="auto" w:sz="4" w:space="0"/>
            </w:tcBorders>
            <w:vAlign w:val="center"/>
          </w:tcPr>
          <w:p>
            <w:pPr>
              <w:spacing w:line="360" w:lineRule="auto"/>
              <w:jc w:val="lef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3</w:t>
            </w:r>
          </w:p>
        </w:tc>
        <w:tc>
          <w:tcPr>
            <w:tcW w:w="91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w:t>
            </w:r>
          </w:p>
        </w:tc>
        <w:tc>
          <w:tcPr>
            <w:tcW w:w="2590" w:type="pct"/>
            <w:tcBorders>
              <w:bottom w:val="single" w:color="auto" w:sz="4" w:space="0"/>
            </w:tcBorders>
            <w:vAlign w:val="center"/>
          </w:tcPr>
          <w:p>
            <w:pPr>
              <w:spacing w:after="50" w:line="360" w:lineRule="auto"/>
              <w:ind w:right="-10" w:rightChars="0"/>
              <w:jc w:val="left"/>
              <w:rPr>
                <w:rFonts w:ascii="@仿宋_GB2312" w:hAnsi="@仿宋_GB2312" w:eastAsia="@仿宋_GB2312" w:cs="@仿宋_GB2312"/>
                <w:kern w:val="2"/>
                <w:sz w:val="21"/>
                <w:lang w:val="en-US" w:eastAsia="zh-CN" w:bidi="ar-SA"/>
              </w:rPr>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14.3.1条中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82"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4</w:t>
            </w:r>
          </w:p>
        </w:tc>
        <w:tc>
          <w:tcPr>
            <w:tcW w:w="912" w:type="pct"/>
            <w:tcBorders>
              <w:bottom w:val="single" w:color="auto" w:sz="4" w:space="0"/>
            </w:tcBorders>
            <w:vAlign w:val="center"/>
          </w:tcPr>
          <w:p>
            <w:pPr>
              <w:spacing w:after="50" w:line="360" w:lineRule="auto"/>
              <w:ind w:right="-1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590"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供《中小企业声明函》或《残疾人福利性单位声明函》或由省级以上监狱管理局、戒毒管理局（含新疆生产建设兵团）出具的属于监狱企业的证明文件。</w:t>
            </w:r>
          </w:p>
          <w:p>
            <w:pPr>
              <w:spacing w:after="50" w:line="360" w:lineRule="auto"/>
              <w:ind w:right="-10" w:rightChars="0"/>
              <w:jc w:val="left"/>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文件要求以联合体形式参加或者要求合同分包的，且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文件关于预留份额的要求。</w:t>
            </w:r>
          </w:p>
        </w:tc>
        <w:tc>
          <w:tcPr>
            <w:tcW w:w="1082" w:type="pct"/>
            <w:tcBorders>
              <w:bottom w:val="single" w:color="auto" w:sz="4" w:space="0"/>
            </w:tcBorders>
            <w:vAlign w:val="center"/>
          </w:tcPr>
          <w:p>
            <w:pPr>
              <w:spacing w:after="50" w:line="360" w:lineRule="auto"/>
              <w:ind w:right="-1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5</w:t>
            </w:r>
          </w:p>
        </w:tc>
        <w:tc>
          <w:tcPr>
            <w:tcW w:w="912" w:type="pct"/>
            <w:tcBorders>
              <w:bottom w:val="single" w:color="auto" w:sz="4" w:space="0"/>
            </w:tcBorders>
            <w:vAlign w:val="top"/>
          </w:tcPr>
          <w:p>
            <w:pPr>
              <w:spacing w:after="50" w:line="360" w:lineRule="auto"/>
              <w:ind w:right="-1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590" w:type="pct"/>
            <w:tcBorders>
              <w:bottom w:val="single" w:color="auto" w:sz="4" w:space="0"/>
            </w:tcBorders>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082" w:type="pct"/>
            <w:tcBorders>
              <w:bottom w:val="single" w:color="auto" w:sz="4" w:space="0"/>
            </w:tcBorders>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6</w:t>
            </w:r>
          </w:p>
        </w:tc>
        <w:tc>
          <w:tcPr>
            <w:tcW w:w="912" w:type="pct"/>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590" w:type="pct"/>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ascii="宋体" w:hAnsi="宋体" w:eastAsia="宋体" w:cs="宋体"/>
                <w:spacing w:val="-2"/>
                <w:sz w:val="24"/>
                <w:szCs w:val="24"/>
              </w:rPr>
              <w:t>如有，见第一章《</w:t>
            </w:r>
            <w:r>
              <w:rPr>
                <w:rFonts w:hint="eastAsia" w:ascii="宋体" w:hAnsi="宋体" w:eastAsia="宋体" w:cs="宋体"/>
                <w:spacing w:val="-2"/>
                <w:sz w:val="24"/>
                <w:szCs w:val="24"/>
                <w:lang w:val="en-US" w:eastAsia="zh-CN"/>
              </w:rPr>
              <w:t>谈判</w:t>
            </w:r>
            <w:r>
              <w:rPr>
                <w:rFonts w:ascii="宋体" w:hAnsi="宋体" w:eastAsia="宋体" w:cs="宋体"/>
                <w:spacing w:val="-2"/>
                <w:sz w:val="24"/>
                <w:szCs w:val="24"/>
              </w:rPr>
              <w:t>邀请》</w:t>
            </w:r>
          </w:p>
        </w:tc>
        <w:tc>
          <w:tcPr>
            <w:tcW w:w="1082" w:type="pct"/>
            <w:vAlign w:val="center"/>
          </w:tcPr>
          <w:p>
            <w:pPr>
              <w:spacing w:after="50" w:line="360" w:lineRule="auto"/>
              <w:ind w:right="-10" w:rightChars="0"/>
              <w:jc w:val="both"/>
              <w:rPr>
                <w:rFonts w:hint="eastAsia"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7</w:t>
            </w:r>
          </w:p>
        </w:tc>
        <w:tc>
          <w:tcPr>
            <w:tcW w:w="912" w:type="pct"/>
            <w:vAlign w:val="center"/>
          </w:tcPr>
          <w:p>
            <w:pPr>
              <w:spacing w:after="50" w:line="360" w:lineRule="auto"/>
              <w:ind w:right="-10" w:rightChars="0"/>
              <w:jc w:val="both"/>
              <w:rPr>
                <w:rFonts w:hint="eastAsia" w:ascii="宋体" w:hAnsi="宋体" w:eastAsia="宋体" w:cs="宋体"/>
                <w:spacing w:val="10"/>
                <w:kern w:val="2"/>
                <w:sz w:val="24"/>
                <w:szCs w:val="24"/>
                <w:lang w:val="en-US" w:eastAsia="zh-CN" w:bidi="ar-SA"/>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适用于接受联合体参加谈判项目</w:t>
            </w:r>
            <w:r>
              <w:rPr>
                <w:rFonts w:hint="eastAsia" w:ascii="宋体" w:hAnsi="宋体" w:eastAsia="宋体" w:cs="宋体"/>
                <w:spacing w:val="-2"/>
                <w:sz w:val="24"/>
                <w:szCs w:val="24"/>
                <w:lang w:eastAsia="zh-CN"/>
              </w:rPr>
              <w:t>）</w:t>
            </w:r>
          </w:p>
        </w:tc>
        <w:tc>
          <w:tcPr>
            <w:tcW w:w="2590" w:type="pct"/>
            <w:vAlign w:val="center"/>
          </w:tcPr>
          <w:p>
            <w:pPr>
              <w:spacing w:after="50" w:line="360" w:lineRule="auto"/>
              <w:ind w:right="-10" w:rightChars="0"/>
              <w:jc w:val="both"/>
              <w:rPr>
                <w:rFonts w:ascii="宋体" w:hAnsi="宋体" w:eastAsia="宋体" w:cs="宋体"/>
                <w:spacing w:val="-2"/>
                <w:kern w:val="2"/>
                <w:sz w:val="24"/>
                <w:szCs w:val="24"/>
                <w:lang w:val="en-US" w:eastAsia="zh-CN" w:bidi="ar-SA"/>
              </w:rPr>
            </w:pPr>
            <w:r>
              <w:rPr>
                <w:rFonts w:hint="eastAsia" w:ascii="宋体" w:hAnsi="宋体" w:eastAsia="宋体" w:cs="宋体"/>
                <w:spacing w:val="-2"/>
                <w:sz w:val="24"/>
                <w:szCs w:val="24"/>
                <w:lang w:val="en-US" w:eastAsia="zh-CN"/>
              </w:rPr>
              <w:t>联合体参加谈判的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1.5条，且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82" w:type="pct"/>
            <w:vAlign w:val="center"/>
          </w:tcPr>
          <w:p>
            <w:pPr>
              <w:spacing w:after="50" w:line="360" w:lineRule="auto"/>
              <w:ind w:right="-10" w:rightChars="0"/>
              <w:jc w:val="both"/>
              <w:rPr>
                <w:rFonts w:hint="eastAsia" w:ascii="宋体" w:hAnsi="宋体" w:eastAsia="宋体" w:cs="宋体"/>
                <w:b w:val="0"/>
                <w:bCs w:val="0"/>
                <w:color w:val="auto"/>
                <w:kern w:val="2"/>
                <w:sz w:val="24"/>
                <w:szCs w:val="24"/>
                <w:highlight w:val="none"/>
                <w:lang w:val="en-US" w:eastAsia="zh-CN" w:bidi="ar-SA"/>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8</w:t>
            </w:r>
          </w:p>
        </w:tc>
        <w:tc>
          <w:tcPr>
            <w:tcW w:w="912" w:type="pct"/>
            <w:vAlign w:val="center"/>
          </w:tcPr>
          <w:p>
            <w:pPr>
              <w:spacing w:after="50" w:line="360" w:lineRule="auto"/>
              <w:ind w:right="-10" w:rightChars="0"/>
              <w:jc w:val="both"/>
              <w:rPr>
                <w:rFonts w:ascii="宋体" w:hAnsi="宋体" w:eastAsia="宋体" w:cs="宋体"/>
                <w:spacing w:val="10"/>
                <w:kern w:val="2"/>
                <w:sz w:val="24"/>
                <w:szCs w:val="24"/>
                <w:lang w:val="en-US" w:eastAsia="zh-CN" w:bidi="ar-SA"/>
              </w:rPr>
            </w:pPr>
            <w:r>
              <w:rPr>
                <w:rFonts w:ascii="宋体" w:hAnsi="宋体" w:eastAsia="宋体" w:cs="宋体"/>
                <w:spacing w:val="10"/>
                <w:sz w:val="24"/>
                <w:szCs w:val="24"/>
              </w:rPr>
              <w:t>其他特定资格要求</w:t>
            </w:r>
          </w:p>
        </w:tc>
        <w:tc>
          <w:tcPr>
            <w:tcW w:w="2590" w:type="pct"/>
            <w:vAlign w:val="center"/>
          </w:tcPr>
          <w:p>
            <w:pPr>
              <w:spacing w:after="50" w:line="360" w:lineRule="auto"/>
              <w:ind w:right="-10" w:rightChars="0"/>
              <w:jc w:val="both"/>
              <w:rPr>
                <w:rFonts w:ascii="宋体" w:hAnsi="宋体" w:eastAsia="宋体" w:cs="宋体"/>
                <w:spacing w:val="10"/>
                <w:kern w:val="2"/>
                <w:sz w:val="24"/>
                <w:szCs w:val="24"/>
                <w:lang w:val="en-US" w:eastAsia="zh-CN" w:bidi="ar-SA"/>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谈判</w:t>
            </w:r>
            <w:r>
              <w:rPr>
                <w:rFonts w:ascii="宋体" w:hAnsi="宋体" w:eastAsia="宋体" w:cs="宋体"/>
                <w:spacing w:val="10"/>
                <w:sz w:val="24"/>
                <w:szCs w:val="24"/>
              </w:rPr>
              <w:t>邀请》</w:t>
            </w:r>
          </w:p>
        </w:tc>
        <w:tc>
          <w:tcPr>
            <w:tcW w:w="1082" w:type="pct"/>
            <w:vAlign w:val="center"/>
          </w:tcPr>
          <w:p>
            <w:pPr>
              <w:spacing w:after="50" w:line="360" w:lineRule="auto"/>
              <w:ind w:right="-10" w:rightChars="0"/>
              <w:jc w:val="both"/>
              <w:rPr>
                <w:rFonts w:ascii="宋体" w:hAnsi="宋体" w:eastAsia="宋体" w:cs="宋体"/>
                <w:spacing w:val="10"/>
                <w:kern w:val="2"/>
                <w:sz w:val="24"/>
                <w:szCs w:val="24"/>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9</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lang w:val="en-US" w:eastAsia="zh-CN"/>
              </w:rPr>
              <w:t>谈判响应</w:t>
            </w:r>
            <w:r>
              <w:rPr>
                <w:rFonts w:hint="eastAsia" w:asciiTheme="minorEastAsia" w:hAnsiTheme="minorEastAsia" w:eastAsiaTheme="minorEastAsia"/>
                <w:color w:val="auto"/>
                <w:sz w:val="24"/>
                <w:szCs w:val="28"/>
                <w:highlight w:val="none"/>
              </w:rPr>
              <w:t>函</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10</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授权书</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的无需此件，提供身份证明即可。</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11</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报价</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12</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szCs w:val="28"/>
                <w:highlight w:val="none"/>
              </w:rPr>
              <w:t>文件采购需求中对付款方式、供货及安装期限、供货及安装地点、免费质保期</w:t>
            </w:r>
            <w:r>
              <w:rPr>
                <w:rFonts w:hint="eastAsia" w:asciiTheme="minorEastAsia" w:hAnsiTheme="minorEastAsia" w:eastAsiaTheme="minorEastAsia"/>
                <w:color w:val="auto"/>
                <w:sz w:val="24"/>
                <w:szCs w:val="28"/>
                <w:highlight w:val="none"/>
                <w:lang w:val="en-US" w:eastAsia="zh-CN"/>
              </w:rPr>
              <w:t>等实质性要求</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13</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590" w:type="pct"/>
            <w:vAlign w:val="center"/>
          </w:tcPr>
          <w:p>
            <w:pPr>
              <w:spacing w:after="50" w:line="360" w:lineRule="auto"/>
              <w:ind w:right="-10" w:rightChars="0"/>
              <w:jc w:val="center"/>
              <w:rPr>
                <w:rFonts w:hint="default"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szCs w:val="28"/>
                <w:highlight w:val="none"/>
              </w:rPr>
              <w:t>文件采购需求中货物技术参数</w:t>
            </w:r>
            <w:r>
              <w:rPr>
                <w:rFonts w:hint="eastAsia" w:asciiTheme="minorEastAsia" w:hAnsiTheme="minorEastAsia" w:eastAsiaTheme="minorEastAsia"/>
                <w:color w:val="auto"/>
                <w:sz w:val="24"/>
                <w:szCs w:val="28"/>
                <w:highlight w:val="none"/>
                <w:lang w:val="en-US" w:eastAsia="zh-CN"/>
              </w:rPr>
              <w:t>等实质性要求</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14</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其他要求</w:t>
            </w:r>
          </w:p>
        </w:tc>
        <w:tc>
          <w:tcPr>
            <w:tcW w:w="2590" w:type="pct"/>
            <w:vAlign w:val="center"/>
          </w:tcPr>
          <w:p>
            <w:pPr>
              <w:spacing w:after="50" w:line="360" w:lineRule="auto"/>
              <w:ind w:right="-10" w:rightChars="0"/>
              <w:jc w:val="center"/>
              <w:rPr>
                <w:rFonts w:hint="default"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文件列明的其他</w:t>
            </w:r>
            <w:r>
              <w:rPr>
                <w:rFonts w:hint="eastAsia" w:asciiTheme="minorEastAsia" w:hAnsiTheme="minorEastAsia" w:eastAsiaTheme="minorEastAsia"/>
                <w:color w:val="auto"/>
                <w:sz w:val="24"/>
                <w:szCs w:val="28"/>
                <w:highlight w:val="none"/>
                <w:lang w:val="en-US" w:eastAsia="zh-CN"/>
              </w:rPr>
              <w:t>实质性要求</w:t>
            </w:r>
          </w:p>
        </w:tc>
        <w:tc>
          <w:tcPr>
            <w:tcW w:w="108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p>
        </w:tc>
      </w:tr>
      <w:bookmarkEnd w:id="48"/>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初审指标通过标准：</w:t>
      </w:r>
      <w:r>
        <w:rPr>
          <w:rFonts w:hint="eastAsia" w:asciiTheme="minorEastAsia" w:hAnsiTheme="minorEastAsia" w:eastAsiaTheme="minorEastAsia"/>
          <w:color w:val="auto"/>
          <w:sz w:val="24"/>
          <w:highlight w:val="none"/>
        </w:rPr>
        <w:t>供应商必须通过初审表中的全部评审指标。</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hint="eastAsia" w:asciiTheme="minorEastAsia" w:hAnsiTheme="minorEastAsia" w:eastAsiaTheme="minorEastAsia"/>
          <w:b/>
          <w:color w:val="auto"/>
          <w:sz w:val="28"/>
          <w:highlight w:val="none"/>
          <w:lang w:eastAsia="zh-CN"/>
        </w:rPr>
      </w:pPr>
      <w:bookmarkStart w:id="49" w:name="_Toc6738"/>
      <w:bookmarkStart w:id="50" w:name="_Toc35525217"/>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49"/>
      <w:bookmarkEnd w:id="50"/>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bookmarkStart w:id="51" w:name="_Toc24145"/>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line="360" w:lineRule="auto"/>
        <w:textAlignment w:val="auto"/>
        <w:rPr>
          <w:rFonts w:hint="eastAsia"/>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ind w:left="420" w:leftChars="200"/>
        <w:textAlignment w:val="auto"/>
        <w:rPr>
          <w:rFonts w:hint="eastAsia" w:cs="Times New Roman" w:asciiTheme="minorEastAsia" w:hAnsiTheme="minorEastAsia" w:eastAsiaTheme="minorEastAsia"/>
          <w:i/>
          <w:iCs/>
          <w:color w:val="000000" w:themeColor="text1"/>
          <w:sz w:val="24"/>
          <w:szCs w:val="24"/>
          <w14:textFill>
            <w14:solidFill>
              <w14:schemeClr w14:val="tx1"/>
            </w14:solidFill>
          </w14:textFill>
        </w:rPr>
      </w:pPr>
      <w:r>
        <w:rPr>
          <w:rFonts w:hint="eastAsia" w:ascii="宋体" w:hAnsi="宋体" w:eastAsia="宋体" w:cs="宋体"/>
          <w:kern w:val="0"/>
          <w:sz w:val="24"/>
          <w:szCs w:val="24"/>
        </w:rPr>
        <w:t>项目名称：</w:t>
      </w:r>
      <w:r>
        <w:rPr>
          <w:rFonts w:hint="eastAsia" w:ascii="宋体" w:hAnsi="宋体" w:eastAsia="宋体" w:cs="宋体"/>
          <w:sz w:val="24"/>
          <w:szCs w:val="24"/>
          <w:u w:val="single"/>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pageBreakBefore w:val="0"/>
        <w:kinsoku/>
        <w:wordWrap/>
        <w:overflowPunct/>
        <w:topLinePunct w:val="0"/>
        <w:bidi w:val="0"/>
        <w:spacing w:line="360" w:lineRule="auto"/>
        <w:ind w:left="420" w:leftChars="200"/>
        <w:textAlignment w:val="auto"/>
        <w:rPr>
          <w:rFonts w:hint="eastAsia"/>
        </w:rPr>
      </w:pP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ascii="宋体" w:hAnsi="宋体" w:eastAsia="宋体" w:cs="宋体"/>
          <w:sz w:val="24"/>
          <w:szCs w:val="24"/>
        </w:rPr>
        <w:t>合同编号：</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w:t>
      </w:r>
      <w:r>
        <w:rPr>
          <w:rFonts w:hint="eastAsia" w:cs="Times New Roman" w:asciiTheme="minorEastAsia" w:hAnsiTheme="minorEastAsia" w:eastAsiaTheme="minorEastAsia"/>
          <w:color w:val="000000" w:themeColor="text1"/>
          <w:sz w:val="24"/>
          <w:szCs w:val="24"/>
          <w:lang w:eastAsia="zh-CN"/>
          <w14:textFill>
            <w14:solidFill>
              <w14:schemeClr w14:val="tx1"/>
            </w14:solidFill>
          </w14:textFill>
        </w:rPr>
        <w:t>成交供应商</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ascii="宋体" w:hAnsi="宋体" w:eastAsia="宋体" w:cs="宋体"/>
          <w:sz w:val="24"/>
          <w:szCs w:val="24"/>
        </w:rPr>
        <w:t>签订时间：</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textAlignment w:val="auto"/>
        <w:rPr>
          <w:rFonts w:hint="eastAsia" w:ascii="宋体" w:hAnsi="宋体" w:eastAsia="宋体" w:cs="宋体"/>
          <w:sz w:val="24"/>
          <w:szCs w:val="24"/>
        </w:rPr>
      </w:pP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pP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使</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用</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说</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明</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1.本合同标准文本适用于购买现成货物的采购项目，不包括需要供应商定制开发、创新研发的货物采购项目。</w:t>
      </w:r>
    </w:p>
    <w:p>
      <w:pPr>
        <w:pageBreakBefore w:val="0"/>
        <w:kinsoku/>
        <w:wordWrap/>
        <w:overflowPunct/>
        <w:topLinePunct w:val="0"/>
        <w:bidi w:val="0"/>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2.本合同标准文本为政府采购货物买卖合同编制提供参考，可以结合采购项目具体情况，对文本作必要的调整修订后使用。</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3.本合同标准文本各条款中，如涉及填写多家供应商、制造商，多种采购标的、分包主要内容等信息的，可根据采购项目具体情况添加信息项。</w:t>
      </w:r>
    </w:p>
    <w:p>
      <w:pPr>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14:textFill>
            <w14:solidFill>
              <w14:schemeClr w14:val="tx1"/>
            </w14:solidFill>
          </w14:textFill>
        </w:rPr>
      </w:pPr>
      <w:bookmarkStart w:id="52" w:name="_Toc22209"/>
      <w:r>
        <w:rPr>
          <w:rFonts w:hint="eastAsia" w:cs="@仿宋_GB2312" w:asciiTheme="minorEastAsia" w:hAnsiTheme="minorEastAsia" w:eastAsiaTheme="minorEastAsia"/>
          <w:b/>
          <w:color w:val="000000" w:themeColor="text1"/>
          <w:sz w:val="24"/>
          <w:szCs w:val="20"/>
          <w14:textFill>
            <w14:solidFill>
              <w14:schemeClr w14:val="tx1"/>
            </w14:solidFill>
          </w14:textFill>
        </w:rPr>
        <w:t>第一节 政府采购合同协议书</w:t>
      </w:r>
      <w:bookmarkEnd w:id="52"/>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文件约定的合同甲方）</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1</w:t>
      </w:r>
      <w:r>
        <w:rPr>
          <w:rFonts w:hint="eastAsia" w:ascii="宋体" w:hAnsi="宋体" w:eastAsia="宋体" w:cs="宋体"/>
          <w:sz w:val="24"/>
          <w:szCs w:val="24"/>
        </w:rPr>
        <w:t>（全称）：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乙方2（全称）：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3（全称）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招标</w:t>
      </w:r>
      <w:r>
        <w:rPr>
          <w:rFonts w:hint="eastAsia" w:ascii="宋体" w:hAnsi="宋体" w:eastAsia="宋体" w:cs="宋体"/>
          <w:sz w:val="24"/>
          <w:szCs w:val="24"/>
          <w:lang w:val="en-US" w:eastAsia="zh-CN"/>
        </w:rPr>
        <w:t>/谈判</w:t>
      </w:r>
      <w:r>
        <w:rPr>
          <w:rFonts w:hint="eastAsia" w:ascii="宋体" w:hAnsi="宋体" w:eastAsia="宋体" w:cs="宋体"/>
          <w:sz w:val="24"/>
          <w:szCs w:val="24"/>
          <w:lang w:eastAsia="zh-CN"/>
        </w:rPr>
        <w:t>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 xml:space="preserve">乙方的《投标（响应）文件》及《中标（成交）通知书》，甲乙双方同意签订本合同。具体情况及要求如下：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项目信息</w:t>
      </w:r>
    </w:p>
    <w:p>
      <w:pPr>
        <w:pStyle w:val="9"/>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pPr>
        <w:pStyle w:val="9"/>
        <w:pageBreakBefore w:val="0"/>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（3）项目内容：</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pPr>
        <w:pageBreakBefore w:val="0"/>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pPr>
        <w:pageBreakBefore w:val="0"/>
        <w:numPr>
          <w:ilvl w:val="-1"/>
          <w:numId w:val="0"/>
        </w:numPr>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关键部件</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②涉及车辆采购，请填写是否属于新能源汽车：</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数量：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lang w:val="en-US" w:eastAsia="zh-CN"/>
        </w:rPr>
        <w:t xml:space="preserve"> </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Style w:val="55"/>
        <w:pageBreakBefore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政府集中采购</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 xml:space="preserve">部门集中采购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分散采购</w:t>
      </w:r>
    </w:p>
    <w:p>
      <w:pPr>
        <w:pStyle w:val="55"/>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竞争性磋商</w:t>
      </w:r>
    </w:p>
    <w:p>
      <w:pPr>
        <w:pStyle w:val="55"/>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w:t>
      </w:r>
    </w:p>
    <w:p>
      <w:pPr>
        <w:pStyle w:val="55"/>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none"/>
          <w:lang w:val="en-US" w:eastAsia="zh-CN"/>
        </w:rPr>
      </w:pPr>
      <w:r>
        <w:rPr>
          <w:rFonts w:hint="eastAsia" w:ascii="宋体" w:hAnsi="宋体" w:eastAsia="宋体" w:cs="宋体"/>
          <w:iCs w:val="0"/>
          <w:sz w:val="24"/>
          <w:szCs w:val="24"/>
          <w:u w:val="none"/>
          <w:lang w:val="en-US" w:eastAsia="zh-CN"/>
        </w:rPr>
        <w:t>（注：在框架协议采购的第二阶段，可选择使用该合同文本）</w:t>
      </w:r>
    </w:p>
    <w:p>
      <w:pPr>
        <w:pStyle w:val="55"/>
        <w:pageBreakBefore w:val="0"/>
        <w:numPr>
          <w:ilvl w:val="-1"/>
          <w:numId w:val="0"/>
        </w:numPr>
        <w:kinsoku/>
        <w:wordWrap/>
        <w:overflowPunct/>
        <w:topLinePunct w:val="0"/>
        <w:bidi w:val="0"/>
        <w:adjustRightInd w:val="0"/>
        <w:snapToGrid w:val="0"/>
        <w:spacing w:before="0" w:beforeLines="0" w:line="360" w:lineRule="auto"/>
        <w:ind w:firstLine="240" w:firstLineChars="100"/>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lang w:eastAsia="zh-CN"/>
        </w:rPr>
        <w:t>购</w:t>
      </w:r>
      <w:r>
        <w:rPr>
          <w:rFonts w:hint="eastAsia" w:ascii="宋体" w:hAnsi="宋体" w:eastAsia="宋体" w:cs="宋体"/>
          <w:w w:val="100"/>
          <w:sz w:val="24"/>
          <w:szCs w:val="24"/>
          <w:shd w:val="clear"/>
        </w:rPr>
        <w:t>合同</w:t>
      </w:r>
      <w:r>
        <w:rPr>
          <w:rFonts w:hint="eastAsia" w:ascii="宋体" w:hAnsi="宋体" w:eastAsia="宋体" w:cs="宋体"/>
          <w:w w:val="100"/>
          <w:sz w:val="24"/>
          <w:szCs w:val="24"/>
          <w:shd w:val="clear"/>
          <w:lang w:eastAsia="zh-CN"/>
        </w:rPr>
        <w:t>（中小企业预留合同）</w:t>
      </w:r>
      <w:r>
        <w:rPr>
          <w:rFonts w:hint="eastAsia" w:ascii="宋体" w:hAnsi="宋体" w:eastAsia="宋体" w:cs="宋体"/>
          <w:sz w:val="24"/>
          <w:szCs w:val="24"/>
          <w:shd w:val="clear"/>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分包主要内容：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分包</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小微型企业</w:t>
      </w:r>
      <w:r>
        <w:rPr>
          <w:rFonts w:hint="eastAsia" w:ascii="宋体" w:hAnsi="宋体" w:eastAsia="宋体" w:cs="宋体"/>
          <w:iCs/>
          <w:sz w:val="24"/>
          <w:szCs w:val="24"/>
          <w:lang w:val="en-US" w:eastAsia="zh-CN"/>
        </w:rPr>
        <w:t xml:space="preserve">  </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残疾人福利性单位</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监狱</w:t>
      </w:r>
      <w:r>
        <w:rPr>
          <w:rFonts w:hint="eastAsia" w:ascii="宋体" w:hAnsi="宋体" w:eastAsia="宋体" w:cs="宋体"/>
          <w:iCs/>
          <w:sz w:val="24"/>
          <w:szCs w:val="24"/>
        </w:rPr>
        <w:t>企业</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pPr>
        <w:pStyle w:val="55"/>
        <w:pageBreakBefore w:val="0"/>
        <w:tabs>
          <w:tab w:val="left" w:pos="1340"/>
        </w:tabs>
        <w:kinsoku/>
        <w:wordWrap/>
        <w:overflowPunct/>
        <w:topLinePunct w:val="0"/>
        <w:bidi w:val="0"/>
        <w:spacing w:beforeLines="0"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pPr>
        <w:pStyle w:val="55"/>
        <w:pageBreakBefore w:val="0"/>
        <w:kinsoku/>
        <w:wordWrap/>
        <w:overflowPunct/>
        <w:topLinePunct w:val="0"/>
        <w:bidi w:val="0"/>
        <w:spacing w:beforeLines="0" w:line="360" w:lineRule="auto"/>
        <w:ind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Style w:val="55"/>
        <w:pageBreakBefore w:val="0"/>
        <w:kinsoku/>
        <w:wordWrap/>
        <w:overflowPunct/>
        <w:topLinePunct w:val="0"/>
        <w:bidi w:val="0"/>
        <w:spacing w:beforeLines="0" w:line="360" w:lineRule="auto"/>
        <w:ind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分包金额</w:t>
      </w:r>
      <w:r>
        <w:rPr>
          <w:rFonts w:hint="eastAsia" w:ascii="宋体" w:hAnsi="宋体" w:eastAsia="宋体" w:cs="宋体"/>
          <w:sz w:val="24"/>
          <w:szCs w:val="24"/>
          <w:lang w:eastAsia="zh-CN"/>
        </w:rPr>
        <w:t>（如有）</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pPr>
        <w:pStyle w:val="56"/>
        <w:pageBreakBefore w:val="0"/>
        <w:kinsoku/>
        <w:wordWrap/>
        <w:overflowPunct/>
        <w:topLinePunct w:val="0"/>
        <w:bidi w:val="0"/>
        <w:spacing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（应</w:t>
      </w:r>
      <w:r>
        <w:rPr>
          <w:rFonts w:hint="eastAsia" w:ascii="宋体" w:hAnsi="宋体" w:eastAsia="宋体" w:cs="宋体"/>
          <w:sz w:val="24"/>
          <w:szCs w:val="24"/>
          <w:u w:val="single"/>
          <w:lang w:eastAsia="zh-CN"/>
        </w:rPr>
        <w:t>明确</w:t>
      </w:r>
      <w:r>
        <w:rPr>
          <w:rFonts w:hint="eastAsia" w:ascii="宋体" w:hAnsi="宋体" w:eastAsia="宋体" w:cs="宋体"/>
          <w:sz w:val="24"/>
          <w:szCs w:val="24"/>
          <w:u w:val="single"/>
        </w:rPr>
        <w:t>一次性支付合同款项</w:t>
      </w:r>
      <w:r>
        <w:rPr>
          <w:rFonts w:hint="eastAsia" w:ascii="宋体" w:hAnsi="宋体" w:eastAsia="宋体" w:cs="宋体"/>
          <w:sz w:val="24"/>
          <w:szCs w:val="24"/>
          <w:u w:val="single"/>
          <w:lang w:eastAsia="zh-CN"/>
        </w:rPr>
        <w:t>的条件</w:t>
      </w:r>
      <w:r>
        <w:rPr>
          <w:rFonts w:hint="eastAsia" w:ascii="宋体" w:hAnsi="宋体" w:eastAsia="宋体" w:cs="宋体"/>
          <w:sz w:val="24"/>
          <w:szCs w:val="24"/>
          <w:u w:val="single"/>
        </w:rPr>
        <w:t xml:space="preserve">）                    </w:t>
      </w:r>
    </w:p>
    <w:p>
      <w:pPr>
        <w:pageBreakBefore w:val="0"/>
        <w:kinsoku/>
        <w:wordWrap/>
        <w:overflowPunct/>
        <w:topLinePunct w:val="0"/>
        <w:bidi w:val="0"/>
        <w:snapToGrid w:val="0"/>
        <w:spacing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合同履行</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pPr>
        <w:pageBreakBefore w:val="0"/>
        <w:kinsoku/>
        <w:wordWrap/>
        <w:overflowPunct/>
        <w:topLinePunct w:val="0"/>
        <w:bidi w:val="0"/>
        <w:snapToGrid w:val="0"/>
        <w:spacing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合同验收</w:t>
      </w:r>
    </w:p>
    <w:p>
      <w:pPr>
        <w:pageBreakBefore w:val="0"/>
        <w:numPr>
          <w:ilvl w:val="0"/>
          <w:numId w:val="3"/>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pPr>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是否邀请本项目的其他供应商</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组成合同的文件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）投标（响应）文件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pPr>
        <w:pStyle w:val="55"/>
        <w:pageBreakBefore w:val="0"/>
        <w:kinsoku/>
        <w:wordWrap/>
        <w:overflowPunct/>
        <w:topLinePunct w:val="0"/>
        <w:bidi w:val="0"/>
        <w:spacing w:beforeLines="0" w:line="360" w:lineRule="auto"/>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合同生效</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合同份数</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Style w:val="56"/>
        <w:pageBreakBefore w:val="0"/>
        <w:kinsoku/>
        <w:wordWrap/>
        <w:overflowPunct/>
        <w:topLinePunct w:val="0"/>
        <w:bidi w:val="0"/>
        <w:spacing w:line="360" w:lineRule="auto"/>
        <w:textAlignment w:val="auto"/>
        <w:rPr>
          <w:rFonts w:hint="eastAsia" w:ascii="宋体" w:hAnsi="宋体" w:eastAsia="宋体" w:cs="宋体"/>
          <w:sz w:val="24"/>
          <w:szCs w:val="24"/>
        </w:rPr>
      </w:pPr>
    </w:p>
    <w:tbl>
      <w:tblPr>
        <w:tblStyle w:val="2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73"/>
        <w:gridCol w:w="2645"/>
        <w:gridCol w:w="2170"/>
        <w:gridCol w:w="2321"/>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7" w:type="pct"/>
            <w:gridSpan w:val="2"/>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乙方（供应商）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ind w:firstLine="115" w:firstLineChars="48"/>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开户名称</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银行账号</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9"/>
              <w:pageBreakBefore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pPr>
        <w:pStyle w:val="4"/>
        <w:pageBreakBefore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u w:val="single"/>
        </w:rPr>
        <w:br w:type="page"/>
      </w:r>
      <w:bookmarkStart w:id="53" w:name="_Toc27624"/>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第二节 政府采购合同通用条款</w:t>
      </w:r>
      <w:bookmarkEnd w:id="53"/>
    </w:p>
    <w:p>
      <w:pPr>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1.1合同当事人</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themeColor="text1"/>
          <w:sz w:val="24"/>
          <w:szCs w:val="24"/>
          <w14:textFill>
            <w14:solidFill>
              <w14:schemeClr w14:val="tx1"/>
            </w14:solidFill>
          </w14:textFill>
        </w:rPr>
        <w:t>依法参与合同缔结或履行，享有权利、承担义务的合同当事人</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pPr>
        <w:pageBreakBefore w:val="0"/>
        <w:kinsoku/>
        <w:wordWrap/>
        <w:overflowPunct/>
        <w:topLinePunct w:val="0"/>
        <w:bidi w:val="0"/>
        <w:adjustRightInd w:val="0"/>
        <w:snapToGrid w:val="0"/>
        <w:spacing w:before="0" w:beforeLines="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themeColor="text1"/>
          <w:sz w:val="24"/>
          <w:szCs w:val="24"/>
          <w14:textFill>
            <w14:solidFill>
              <w14:schemeClr w14:val="tx1"/>
            </w14:solidFill>
          </w14:textFill>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sz w:val="24"/>
          <w:szCs w:val="24"/>
        </w:rPr>
        <w:t>投标（响应）文件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themeColor="text1"/>
          <w:sz w:val="24"/>
          <w:szCs w:val="24"/>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技术资料和材料</w:t>
      </w:r>
      <w:r>
        <w:rPr>
          <w:rFonts w:hint="eastAsia" w:ascii="宋体" w:hAnsi="宋体" w:eastAsia="宋体" w:cs="宋体"/>
          <w:color w:val="000000" w:themeColor="text1"/>
          <w:sz w:val="24"/>
          <w:szCs w:val="24"/>
          <w:highlight w:val="none"/>
          <w:lang w:eastAsia="zh-CN"/>
          <w14:textFill>
            <w14:solidFill>
              <w14:schemeClr w14:val="tx1"/>
            </w14:solidFill>
          </w14:textFill>
        </w:rPr>
        <w:t>等</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themeColor="text1"/>
          <w:sz w:val="24"/>
          <w:szCs w:val="24"/>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4"/>
          <w:szCs w:val="24"/>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4"/>
          <w:szCs w:val="24"/>
          <w:highlight w:val="none"/>
          <w14:textFill>
            <w14:solidFill>
              <w14:schemeClr w14:val="tx1"/>
            </w14:solidFill>
          </w14:textFill>
        </w:rPr>
        <w:t>技术、管理和</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4"/>
          <w:szCs w:val="24"/>
          <w:highlight w:val="none"/>
          <w:lang w:eastAsia="zh-CN"/>
          <w14:textFill>
            <w14:solidFill>
              <w14:schemeClr w14:val="tx1"/>
            </w14:solidFill>
          </w14:textFill>
        </w:rPr>
        <w:t>废弃处置、</w:t>
      </w:r>
      <w:r>
        <w:rPr>
          <w:rFonts w:hint="eastAsia" w:ascii="宋体" w:hAnsi="宋体" w:eastAsia="宋体" w:cs="宋体"/>
          <w:color w:val="000000" w:themeColor="text1"/>
          <w:sz w:val="24"/>
          <w:szCs w:val="24"/>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义务。</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）“分包”系指中标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项目中的部分履约内容，分给具有相应资质条件的供应商履行合同的行为。</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sz w:val="24"/>
          <w:szCs w:val="24"/>
        </w:rPr>
        <w:t>“联合体”系指</w:t>
      </w:r>
      <w:r>
        <w:rPr>
          <w:rFonts w:hint="eastAsia" w:ascii="宋体" w:hAnsi="宋体" w:eastAsia="宋体" w:cs="宋体"/>
          <w:sz w:val="24"/>
          <w:szCs w:val="24"/>
          <w:lang w:eastAsia="zh-CN"/>
        </w:rPr>
        <w:t>由</w:t>
      </w:r>
      <w:r>
        <w:rPr>
          <w:rFonts w:hint="eastAsia" w:ascii="宋体" w:hAnsi="宋体" w:eastAsia="宋体" w:cs="宋体"/>
          <w:sz w:val="24"/>
          <w:szCs w:val="24"/>
        </w:rPr>
        <w:t>两个以上的自然人、法人或者</w:t>
      </w:r>
      <w:r>
        <w:rPr>
          <w:rFonts w:hint="eastAsia" w:ascii="宋体" w:hAnsi="宋体" w:eastAsia="宋体" w:cs="宋体"/>
          <w:sz w:val="24"/>
          <w:szCs w:val="24"/>
          <w:lang w:val="en-US" w:eastAsia="zh-CN"/>
        </w:rPr>
        <w:t>非法人</w:t>
      </w:r>
      <w:r>
        <w:rPr>
          <w:rFonts w:hint="eastAsia" w:ascii="宋体" w:hAnsi="宋体" w:eastAsia="宋体" w:cs="宋体"/>
          <w:sz w:val="24"/>
          <w:szCs w:val="24"/>
        </w:rPr>
        <w:t>组织组成，</w:t>
      </w:r>
      <w:r>
        <w:rPr>
          <w:rFonts w:hint="eastAsia" w:ascii="宋体" w:hAnsi="宋体" w:eastAsia="宋体" w:cs="宋体"/>
          <w:sz w:val="24"/>
          <w:szCs w:val="24"/>
          <w:lang w:eastAsia="zh-CN"/>
        </w:rPr>
        <w:t>以一个供应商的身份共同参加政府采购的主体</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4"/>
          <w:szCs w:val="24"/>
          <w:highlight w:val="none"/>
          <w:lang w:eastAsia="zh-CN"/>
          <w14:textFill>
            <w14:solidFill>
              <w14:schemeClr w14:val="tx1"/>
            </w14:solidFill>
          </w14:textFill>
        </w:rPr>
        <w:t>甲方</w:t>
      </w:r>
      <w:r>
        <w:rPr>
          <w:rFonts w:hint="eastAsia" w:ascii="宋体" w:hAnsi="宋体" w:eastAsia="宋体" w:cs="宋体"/>
          <w:color w:val="000000" w:themeColor="text1"/>
          <w:sz w:val="24"/>
          <w:szCs w:val="24"/>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）其他术语解释，见【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合同标的及金额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
          <w:bCs/>
          <w:i/>
          <w:i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中，甲方不再另行支付</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任何费用。</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3</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履行合同的时间、地点和方式</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甲方的权利和义务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.1 签署合同后，甲方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themeColor="text1"/>
          <w:sz w:val="24"/>
          <w:szCs w:val="24"/>
          <w:highlight w:val="none"/>
          <w:lang w:val="en-US" w:eastAsia="zh-CN"/>
          <w14:textFill>
            <w14:solidFill>
              <w14:schemeClr w14:val="tx1"/>
            </w14:solidFill>
          </w14:textFill>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themeColor="text1"/>
          <w:sz w:val="24"/>
          <w:szCs w:val="24"/>
          <w:highlight w:val="none"/>
          <w:lang w:val="en-US" w:eastAsia="zh-CN"/>
          <w14:textFill>
            <w14:solidFill>
              <w14:schemeClr w14:val="tx1"/>
            </w14:solidFill>
          </w14:textFill>
        </w:rPr>
        <w:t>视为验收通过。</w:t>
      </w:r>
    </w:p>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color w:val="000000" w:themeColor="text1"/>
          <w:sz w:val="24"/>
          <w:szCs w:val="24"/>
          <w:highlight w:val="none"/>
          <w14:textFill>
            <w14:solidFill>
              <w14:schemeClr w14:val="tx1"/>
            </w14:solidFill>
          </w14:textFill>
        </w:rPr>
        <w:t>时向乙方支付</w:t>
      </w:r>
      <w:r>
        <w:rPr>
          <w:rFonts w:hint="eastAsia" w:ascii="宋体" w:hAnsi="宋体" w:eastAsia="宋体" w:cs="宋体"/>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 xml:space="preserve"> 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lang w:eastAsia="zh-CN"/>
          <w14:textFill>
            <w14:solidFill>
              <w14:schemeClr w14:val="tx1"/>
            </w14:solidFill>
          </w14:textFill>
        </w:rPr>
        <w:t>约定应</w:t>
      </w:r>
      <w:r>
        <w:rPr>
          <w:rFonts w:hint="eastAsia" w:ascii="宋体" w:hAnsi="宋体" w:eastAsia="宋体" w:cs="宋体"/>
          <w:color w:val="000000" w:themeColor="text1"/>
          <w:sz w:val="24"/>
          <w:szCs w:val="24"/>
          <w:highlight w:val="none"/>
          <w14:textFill>
            <w14:solidFill>
              <w14:schemeClr w14:val="tx1"/>
            </w14:solidFill>
          </w14:textFill>
        </w:rPr>
        <w:t>由甲方承担的其他义务和责任。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5</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乙方的权利和义务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.1 签署合同后，乙方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4"/>
          <w:szCs w:val="24"/>
          <w:highlight w:val="none"/>
          <w:lang w:eastAsia="zh-CN"/>
          <w14:textFill>
            <w14:solidFill>
              <w14:schemeClr w14:val="tx1"/>
            </w14:solidFill>
          </w14:textFill>
        </w:rPr>
        <w:t>及相关</w:t>
      </w:r>
      <w:r>
        <w:rPr>
          <w:rFonts w:hint="eastAsia" w:ascii="宋体" w:hAnsi="宋体" w:eastAsia="宋体" w:cs="宋体"/>
          <w:color w:val="000000" w:themeColor="text1"/>
          <w:sz w:val="24"/>
          <w:szCs w:val="24"/>
          <w:highlight w:val="none"/>
          <w14:textFill>
            <w14:solidFill>
              <w14:schemeClr w14:val="tx1"/>
            </w14:solidFill>
          </w14:textFill>
        </w:rPr>
        <w:t>服务符合合同</w:t>
      </w:r>
      <w:r>
        <w:rPr>
          <w:rFonts w:hint="eastAsia" w:ascii="宋体" w:hAnsi="宋体" w:eastAsia="宋体" w:cs="宋体"/>
          <w:color w:val="000000" w:themeColor="text1"/>
          <w:sz w:val="24"/>
          <w:szCs w:val="24"/>
          <w:highlight w:val="none"/>
          <w:lang w:eastAsia="zh-CN"/>
          <w14:textFill>
            <w14:solidFill>
              <w14:schemeClr w14:val="tx1"/>
            </w14:solidFill>
          </w14:textFill>
        </w:rPr>
        <w:t>有关</w:t>
      </w:r>
      <w:r>
        <w:rPr>
          <w:rFonts w:hint="eastAsia" w:ascii="宋体" w:hAnsi="宋体" w:eastAsia="宋体" w:cs="宋体"/>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4"/>
          <w:szCs w:val="24"/>
          <w:highlight w:val="none"/>
          <w:lang w:eastAsia="zh-CN"/>
          <w14:textFill>
            <w14:solidFill>
              <w14:schemeClr w14:val="tx1"/>
            </w14:solidFill>
          </w14:textFill>
        </w:rPr>
        <w:t>及验收</w:t>
      </w:r>
      <w:r>
        <w:rPr>
          <w:rFonts w:hint="eastAsia" w:ascii="宋体" w:hAnsi="宋体" w:eastAsia="宋体" w:cs="宋体"/>
          <w:color w:val="000000" w:themeColor="text1"/>
          <w:sz w:val="24"/>
          <w:szCs w:val="24"/>
          <w:highlight w:val="none"/>
          <w14:textFill>
            <w14:solidFill>
              <w14:schemeClr w14:val="tx1"/>
            </w14:solidFill>
          </w14:textFill>
        </w:rPr>
        <w:t>，并负责项目实施过程中的所有协调工作。</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.3乙方有权根据合同约定向甲方收取</w:t>
      </w:r>
      <w:r>
        <w:rPr>
          <w:rFonts w:hint="eastAsia" w:ascii="宋体" w:hAnsi="宋体" w:eastAsia="宋体" w:cs="宋体"/>
          <w:color w:val="000000" w:themeColor="text1"/>
          <w:sz w:val="24"/>
          <w:szCs w:val="24"/>
          <w:highlight w:val="none"/>
          <w:lang w:eastAsia="zh-CN"/>
          <w14:textFill>
            <w14:solidFill>
              <w14:schemeClr w14:val="tx1"/>
            </w14:solidFill>
          </w14:textFill>
        </w:rPr>
        <w:t>合同价款</w:t>
      </w:r>
      <w:r>
        <w:rPr>
          <w:rFonts w:hint="eastAsia" w:ascii="宋体" w:hAnsi="宋体" w:eastAsia="宋体" w:cs="宋体"/>
          <w:color w:val="000000" w:themeColor="text1"/>
          <w:sz w:val="24"/>
          <w:szCs w:val="24"/>
          <w:highlight w:val="none"/>
          <w14:textFill>
            <w14:solidFill>
              <w14:schemeClr w14:val="tx1"/>
            </w14:solidFill>
          </w14:textFill>
        </w:rPr>
        <w:t>。</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.4国家法律法规规定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themeColor="text1"/>
          <w:sz w:val="24"/>
          <w:szCs w:val="24"/>
          <w:highlight w:val="none"/>
          <w14:textFill>
            <w14:solidFill>
              <w14:schemeClr w14:val="tx1"/>
            </w14:solidFill>
          </w14:textFill>
        </w:rPr>
        <w:t>由乙方承担的其他义务和责任。</w:t>
      </w:r>
    </w:p>
    <w:p>
      <w:pPr>
        <w:pageBreakBefore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合同履</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约定顺序履行合同义务；如果没有先后顺序的，应当同时履行。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货物包装、运输</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保险</w:t>
      </w:r>
      <w:r>
        <w:rPr>
          <w:rFonts w:hint="eastAsia" w:ascii="宋体" w:hAnsi="宋体" w:eastAsia="宋体" w:cs="宋体"/>
          <w:b/>
          <w:bCs/>
          <w:color w:val="000000" w:themeColor="text1"/>
          <w:sz w:val="24"/>
          <w:szCs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szCs w:val="24"/>
          <w:highlight w:val="none"/>
          <w14:textFill>
            <w14:solidFill>
              <w14:schemeClr w14:val="tx1"/>
            </w14:solidFill>
          </w14:textFill>
        </w:rPr>
        <w:t>要求</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.1 本合同</w:t>
      </w:r>
      <w:r>
        <w:rPr>
          <w:rFonts w:hint="eastAsia" w:ascii="宋体" w:hAnsi="宋体" w:eastAsia="宋体" w:cs="宋体"/>
          <w:bCs/>
          <w:color w:val="000000" w:themeColor="text1"/>
          <w:sz w:val="24"/>
          <w:szCs w:val="24"/>
          <w:highlight w:val="none"/>
          <w14:textFill>
            <w14:solidFill>
              <w14:schemeClr w14:val="tx1"/>
            </w14:solidFill>
          </w14:textFill>
        </w:rPr>
        <w:t>涉及商品包装</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快递包装的，</w:t>
      </w:r>
      <w:r>
        <w:rPr>
          <w:rFonts w:hint="eastAsia" w:ascii="宋体" w:hAnsi="宋体" w:eastAsia="宋体" w:cs="宋体"/>
          <w:color w:val="000000" w:themeColor="text1"/>
          <w:sz w:val="24"/>
          <w:szCs w:val="24"/>
          <w:highlight w:val="none"/>
          <w14:textFill>
            <w14:solidFill>
              <w14:schemeClr w14:val="tx1"/>
            </w14:solidFill>
          </w14:textFill>
        </w:rPr>
        <w:t>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约定的</w:t>
      </w:r>
      <w:r>
        <w:rPr>
          <w:rFonts w:hint="eastAsia" w:ascii="宋体" w:hAnsi="宋体" w:eastAsia="宋体" w:cs="宋体"/>
          <w:color w:val="000000" w:themeColor="text1"/>
          <w:sz w:val="24"/>
          <w:szCs w:val="24"/>
          <w:highlight w:val="none"/>
          <w14:textFill>
            <w14:solidFill>
              <w14:schemeClr w14:val="tx1"/>
            </w14:solidFill>
          </w14:textFill>
        </w:rPr>
        <w:t>指定现场。</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.2 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4"/>
          <w:szCs w:val="24"/>
          <w:highlight w:val="none"/>
          <w:lang w:eastAsia="zh-CN"/>
          <w14:textFill>
            <w14:solidFill>
              <w14:schemeClr w14:val="tx1"/>
            </w14:solidFill>
          </w14:textFill>
        </w:rPr>
        <w:t>，并装卸、交付至甲方</w:t>
      </w:r>
      <w:r>
        <w:rPr>
          <w:rFonts w:hint="eastAsia" w:ascii="宋体" w:hAnsi="宋体" w:eastAsia="宋体" w:cs="宋体"/>
          <w:color w:val="000000" w:themeColor="text1"/>
          <w:sz w:val="24"/>
          <w:szCs w:val="24"/>
          <w:highlight w:val="none"/>
          <w14:textFill>
            <w14:solidFill>
              <w14:schemeClr w14:val="tx1"/>
            </w14:solidFill>
          </w14:textFill>
        </w:rPr>
        <w:t>的一切运输事项，相关费用应</w:t>
      </w:r>
      <w:r>
        <w:rPr>
          <w:rFonts w:hint="eastAsia" w:ascii="宋体" w:hAnsi="宋体" w:eastAsia="宋体" w:cs="宋体"/>
          <w:color w:val="000000" w:themeColor="text1"/>
          <w:sz w:val="24"/>
          <w:szCs w:val="24"/>
          <w:highlight w:val="none"/>
          <w:lang w:eastAsia="zh-CN"/>
          <w14:textFill>
            <w14:solidFill>
              <w14:schemeClr w14:val="tx1"/>
            </w14:solidFill>
          </w14:textFill>
        </w:rPr>
        <w:t>包含</w:t>
      </w:r>
      <w:r>
        <w:rPr>
          <w:rFonts w:hint="eastAsia" w:ascii="宋体" w:hAnsi="宋体" w:eastAsia="宋体" w:cs="宋体"/>
          <w:color w:val="000000" w:themeColor="text1"/>
          <w:sz w:val="24"/>
          <w:szCs w:val="24"/>
          <w:highlight w:val="none"/>
          <w14:textFill>
            <w14:solidFill>
              <w14:schemeClr w14:val="tx1"/>
            </w14:solidFill>
          </w14:textFill>
        </w:rPr>
        <w:t>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.3 货物保险要求按</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规定执行</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 xml:space="preserve">.4 </w:t>
      </w:r>
      <w:r>
        <w:rPr>
          <w:rFonts w:hint="eastAsia" w:ascii="宋体" w:hAnsi="宋体" w:eastAsia="宋体" w:cs="宋体"/>
          <w:color w:val="000000" w:themeColor="text1"/>
          <w:sz w:val="24"/>
          <w:szCs w:val="24"/>
          <w:highlight w:val="none"/>
          <w:lang w:val="en-US" w:eastAsia="zh-CN"/>
          <w14:textFill>
            <w14:solidFill>
              <w14:schemeClr w14:val="tx1"/>
            </w14:solidFill>
          </w14:textFill>
        </w:rPr>
        <w:t>除采购活动</w:t>
      </w:r>
      <w:r>
        <w:rPr>
          <w:rFonts w:hint="eastAsia" w:ascii="宋体" w:hAnsi="宋体" w:eastAsia="宋体" w:cs="宋体"/>
          <w:color w:val="000000" w:themeColor="text1"/>
          <w:sz w:val="24"/>
          <w:szCs w:val="24"/>
          <w:highlight w:val="none"/>
          <w14:textFill>
            <w14:solidFill>
              <w14:schemeClr w14:val="tx1"/>
            </w14:solidFill>
          </w14:textFill>
        </w:rPr>
        <w:t>对商品包装</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w:t>
      </w:r>
      <w:r>
        <w:rPr>
          <w:rFonts w:hint="eastAsia" w:ascii="宋体" w:hAnsi="宋体" w:eastAsia="宋体" w:cs="宋体"/>
          <w:color w:val="000000" w:themeColor="text1"/>
          <w:sz w:val="24"/>
          <w:szCs w:val="24"/>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4"/>
          <w:szCs w:val="24"/>
          <w:highlight w:val="none"/>
          <w14:textFill>
            <w14:solidFill>
              <w14:schemeClr w14:val="tx1"/>
            </w14:solidFill>
          </w14:textFill>
        </w:rPr>
        <w:t>，乙方提供产品及相关快递服务</w:t>
      </w:r>
      <w:r>
        <w:rPr>
          <w:rFonts w:hint="eastAsia" w:ascii="宋体" w:hAnsi="宋体" w:eastAsia="宋体" w:cs="宋体"/>
          <w:color w:val="000000" w:themeColor="text1"/>
          <w:sz w:val="24"/>
          <w:szCs w:val="24"/>
          <w:highlight w:val="none"/>
          <w:lang w:val="en-US" w:eastAsia="zh-CN"/>
          <w14:textFill>
            <w14:solidFill>
              <w14:schemeClr w14:val="tx1"/>
            </w14:solidFill>
          </w14:textFill>
        </w:rPr>
        <w:t>涉及到</w:t>
      </w:r>
      <w:r>
        <w:rPr>
          <w:rFonts w:hint="eastAsia" w:ascii="宋体" w:hAnsi="宋体" w:eastAsia="宋体" w:cs="宋体"/>
          <w:color w:val="000000" w:themeColor="text1"/>
          <w:sz w:val="24"/>
          <w:szCs w:val="24"/>
          <w:highlight w:val="none"/>
          <w14:textFill>
            <w14:solidFill>
              <w14:schemeClr w14:val="tx1"/>
            </w14:solidFill>
          </w14:textFill>
        </w:rPr>
        <w:t>具体包装要求</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应</w:t>
      </w:r>
      <w:r>
        <w:rPr>
          <w:rFonts w:hint="eastAsia" w:ascii="宋体" w:hAnsi="宋体" w:eastAsia="宋体" w:cs="宋体"/>
          <w:color w:val="000000" w:themeColor="text1"/>
          <w:sz w:val="24"/>
          <w:szCs w:val="24"/>
          <w:highlight w:val="none"/>
          <w:lang w:val="en-US" w:eastAsia="zh-CN"/>
          <w14:textFill>
            <w14:solidFill>
              <w14:schemeClr w14:val="tx1"/>
            </w14:solidFill>
          </w14:textFill>
        </w:rPr>
        <w:t>不低于</w:t>
      </w:r>
      <w:r>
        <w:rPr>
          <w:rFonts w:hint="eastAsia" w:ascii="宋体" w:hAnsi="宋体" w:eastAsia="宋体" w:cs="宋体"/>
          <w:color w:val="000000" w:themeColor="text1"/>
          <w:sz w:val="24"/>
          <w:szCs w:val="24"/>
          <w:highlight w:val="none"/>
          <w14:textFill>
            <w14:solidFill>
              <w14:schemeClr w14:val="tx1"/>
            </w14:solidFill>
          </w14:textFill>
        </w:rPr>
        <w:t>《商品包装政府采购需求标准（试行）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快递包装政府采购需求标准（试行）》</w:t>
      </w:r>
      <w:r>
        <w:rPr>
          <w:rFonts w:hint="eastAsia" w:ascii="宋体" w:hAnsi="宋体" w:eastAsia="宋体" w:cs="宋体"/>
          <w:color w:val="000000" w:themeColor="text1"/>
          <w:sz w:val="24"/>
          <w:szCs w:val="24"/>
          <w:highlight w:val="none"/>
          <w:lang w:val="en-US" w:eastAsia="zh-CN"/>
          <w14:textFill>
            <w14:solidFill>
              <w14:schemeClr w14:val="tx1"/>
            </w14:solidFill>
          </w14:textFill>
        </w:rPr>
        <w:t>标准</w:t>
      </w:r>
      <w:r>
        <w:rPr>
          <w:rFonts w:hint="eastAsia" w:ascii="宋体" w:hAnsi="宋体" w:eastAsia="宋体" w:cs="宋体"/>
          <w:color w:val="000000" w:themeColor="text1"/>
          <w:sz w:val="24"/>
          <w:szCs w:val="24"/>
          <w:highlight w:val="none"/>
          <w14:textFill>
            <w14:solidFill>
              <w14:schemeClr w14:val="tx1"/>
            </w14:solidFill>
          </w14:textFill>
        </w:rPr>
        <w:t>，并作为履约验收的内容，必要时甲方可以要求乙方在履约验收环节出具检测报告。</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pPr>
        <w:pStyle w:val="55"/>
        <w:pageBreakBefore w:val="0"/>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themeColor="text1"/>
          <w:kern w:val="2"/>
          <w:sz w:val="24"/>
          <w:szCs w:val="24"/>
          <w:highlight w:val="none"/>
          <w:lang w:eastAsia="zh-CN"/>
          <w14:textFill>
            <w14:solidFill>
              <w14:schemeClr w14:val="tx1"/>
            </w14:solidFill>
          </w14:textFill>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themeColor="text1"/>
          <w:sz w:val="24"/>
          <w:szCs w:val="24"/>
          <w:highlight w:val="none"/>
          <w:lang w:eastAsia="zh-CN"/>
          <w14:textFill>
            <w14:solidFill>
              <w14:schemeClr w14:val="tx1"/>
            </w14:solidFill>
          </w14:textFill>
        </w:rPr>
        <w:t>8</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auto"/>
          <w:sz w:val="24"/>
          <w:szCs w:val="24"/>
          <w:highlight w:val="none"/>
        </w:rPr>
        <w:t>质量标准和保证</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themeColor="text1"/>
          <w:sz w:val="24"/>
          <w:szCs w:val="24"/>
          <w:highlight w:val="none"/>
          <w:lang w:eastAsia="zh-CN"/>
          <w14:textFill>
            <w14:solidFill>
              <w14:schemeClr w14:val="tx1"/>
            </w14:solidFill>
          </w14:textFill>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themeColor="text1"/>
          <w:sz w:val="24"/>
          <w:szCs w:val="24"/>
          <w:highlight w:val="none"/>
          <w:lang w:eastAsia="zh-CN"/>
          <w14:textFill>
            <w14:solidFill>
              <w14:schemeClr w14:val="tx1"/>
            </w14:solidFill>
          </w14:textFill>
        </w:rPr>
        <w:t>的违约责任</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auto"/>
          <w:sz w:val="24"/>
          <w:szCs w:val="24"/>
          <w:highlight w:val="none"/>
        </w:rPr>
        <w:t>权利瑕疵担保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.1 乙方保证对其出售的货物享有合法的权利。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.2 </w:t>
      </w:r>
      <w:r>
        <w:rPr>
          <w:rFonts w:hint="eastAsia" w:ascii="宋体" w:hAnsi="宋体" w:eastAsia="宋体" w:cs="宋体"/>
          <w:sz w:val="24"/>
          <w:szCs w:val="24"/>
        </w:rPr>
        <w:t>乙方保证在交付的货物上不存在抵押权等担保物权。</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.3 如甲方使用</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货物构成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对第三人</w:t>
      </w:r>
      <w:r>
        <w:rPr>
          <w:rFonts w:hint="eastAsia" w:ascii="宋体" w:hAnsi="宋体" w:eastAsia="宋体" w:cs="宋体"/>
          <w:color w:val="000000" w:themeColor="text1"/>
          <w:sz w:val="24"/>
          <w:szCs w:val="24"/>
          <w:highlight w:val="none"/>
          <w14:textFill>
            <w14:solidFill>
              <w14:schemeClr w14:val="tx1"/>
            </w14:solidFill>
          </w14:textFill>
        </w:rPr>
        <w:t>侵权的，则由乙方承担全部责任。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0</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知识产权保护</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54"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54"/>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pPr>
        <w:pStyle w:val="4"/>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pPr>
        <w:pStyle w:val="2"/>
        <w:pageBreakBefore w:val="0"/>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pPr>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pPr>
        <w:pStyle w:val="55"/>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pPr>
        <w:pageBreakBefore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pPr>
        <w:pageBreakBefore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pPr>
        <w:pageBreakBefore w:val="0"/>
        <w:kinsoku/>
        <w:wordWrap/>
        <w:overflowPunct/>
        <w:topLinePunct w:val="0"/>
        <w:bidi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pPr>
        <w:pStyle w:val="55"/>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pPr>
        <w:pStyle w:val="2"/>
        <w:pageBreakBefore w:val="0"/>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pPr>
        <w:pageBreakBefore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pPr>
        <w:pStyle w:val="55"/>
        <w:pageBreakBefore w:val="0"/>
        <w:kinsoku/>
        <w:wordWrap/>
        <w:overflowPunct/>
        <w:topLinePunct w:val="0"/>
        <w:bidi w:val="0"/>
        <w:spacing w:line="360" w:lineRule="auto"/>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pPr>
        <w:pageBreakBefore w:val="0"/>
        <w:numPr>
          <w:ilvl w:val="0"/>
          <w:numId w:val="7"/>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55" w:name="_Toc20313"/>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pPr>
        <w:pStyle w:val="4"/>
        <w:pageBreakBefore w:val="0"/>
        <w:kinsoku/>
        <w:wordWrap/>
        <w:overflowPunct/>
        <w:topLinePunct w:val="0"/>
        <w:bidi w:val="0"/>
        <w:adjustRightInd w:val="0"/>
        <w:snapToGrid w:val="0"/>
        <w:spacing w:before="156" w:beforeLines="50" w:line="360" w:lineRule="auto"/>
        <w:jc w:val="center"/>
        <w:textAlignment w:val="auto"/>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pPr>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第三节 政府采购合同专用条款</w:t>
      </w:r>
      <w:bookmarkEnd w:id="55"/>
    </w:p>
    <w:tbl>
      <w:tblPr>
        <w:tblStyle w:val="2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质量保证期</w:t>
            </w:r>
          </w:p>
        </w:tc>
        <w:tc>
          <w:tcPr>
            <w:tcW w:w="5170" w:type="dxa"/>
            <w:vAlign w:val="center"/>
          </w:tcPr>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响应时间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pPr>
              <w:pStyle w:val="55"/>
              <w:pageBreakBefore w:val="0"/>
              <w:kinsoku/>
              <w:wordWrap/>
              <w:overflowPunct/>
              <w:topLinePunct w:val="0"/>
              <w:bidi w:val="0"/>
              <w:spacing w:line="360" w:lineRule="auto"/>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742" w:type="dxa"/>
            <w:vAlign w:val="center"/>
          </w:tcPr>
          <w:p>
            <w:pPr>
              <w:pageBreakBefore w:val="0"/>
              <w:kinsoku/>
              <w:wordWrap/>
              <w:overflowPunct/>
              <w:topLinePunct w:val="0"/>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逾期付款利息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742" w:type="dxa"/>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其他违约责任</w:t>
            </w:r>
          </w:p>
        </w:tc>
        <w:tc>
          <w:tcPr>
            <w:tcW w:w="5170" w:type="dxa"/>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70" w:type="dxa"/>
            <w:tcBorders>
              <w:top w:val="single" w:color="auto" w:sz="2" w:space="0"/>
              <w:left w:val="single" w:color="auto" w:sz="2" w:space="0"/>
            </w:tcBorders>
            <w:vAlign w:val="center"/>
          </w:tcPr>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因本合同及合同有关事项发生的争议，按下列第</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种方式解决：</w:t>
            </w:r>
          </w:p>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（1）向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仲裁委员会申请仲裁，仲裁地点为</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sz w:val="24"/>
                <w:szCs w:val="24"/>
                <w:u w:val="single"/>
              </w:rPr>
            </w:pPr>
            <w:r>
              <w:rPr>
                <w:rFonts w:hint="eastAsia" w:ascii="宋体" w:hAnsi="宋体" w:eastAsia="宋体" w:cs="宋体"/>
                <w:b w:val="0"/>
                <w:bCs w:val="0"/>
                <w:iCs/>
                <w:sz w:val="24"/>
                <w:szCs w:val="24"/>
              </w:rPr>
              <w:t>（2）向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p>
        </w:tc>
      </w:tr>
    </w:tbl>
    <w:p>
      <w:pPr>
        <w:rPr>
          <w:rFonts w:hint="eastAsia" w:ascii="宋体" w:hAnsi="宋体" w:eastAsia="宋体" w:cs="宋体"/>
          <w:sz w:val="24"/>
          <w:szCs w:val="24"/>
        </w:rPr>
      </w:pPr>
    </w:p>
    <w:p>
      <w:pPr>
        <w:spacing w:line="360" w:lineRule="auto"/>
        <w:rPr>
          <w:rFonts w:asciiTheme="minorEastAsia" w:hAnsiTheme="minorEastAsia" w:eastAsiaTheme="minorEastAsia" w:cstheme="minorEastAsia"/>
          <w:color w:val="auto"/>
          <w:sz w:val="28"/>
          <w:szCs w:val="27"/>
          <w:highlight w:val="none"/>
        </w:rPr>
      </w:pPr>
      <w:r>
        <w:rPr>
          <w:rFonts w:hint="eastAsia" w:asciiTheme="minorEastAsia" w:hAnsiTheme="minorEastAsia" w:eastAsiaTheme="minorEastAsia" w:cstheme="minorEastAsia"/>
          <w:color w:val="auto"/>
          <w:sz w:val="28"/>
          <w:szCs w:val="27"/>
          <w:highlight w:val="none"/>
        </w:rPr>
        <w:br w:type="page"/>
      </w:r>
    </w:p>
    <w:p>
      <w:pPr>
        <w:spacing w:line="360" w:lineRule="auto"/>
        <w:jc w:val="center"/>
        <w:outlineLvl w:val="0"/>
        <w:rPr>
          <w:rFonts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t>第六章  响应文件格式</w:t>
      </w:r>
      <w:bookmarkEnd w:id="51"/>
    </w:p>
    <w:p>
      <w:pPr>
        <w:spacing w:line="500" w:lineRule="exact"/>
        <w:jc w:val="center"/>
        <w:outlineLvl w:val="1"/>
        <w:rPr>
          <w:rFonts w:asciiTheme="minorEastAsia" w:hAnsiTheme="minorEastAsia" w:eastAsiaTheme="minorEastAsia"/>
          <w:b/>
          <w:color w:val="auto"/>
          <w:sz w:val="32"/>
          <w:highlight w:val="yellow"/>
        </w:rPr>
      </w:pP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spacing w:before="156" w:beforeLines="50" w:after="156" w:afterLines="50"/>
        <w:jc w:val="center"/>
        <w:outlineLvl w:val="1"/>
        <w:rPr>
          <w:rFonts w:asciiTheme="minorEastAsia" w:hAnsiTheme="minorEastAsia" w:eastAsiaTheme="minorEastAsia"/>
          <w:b/>
          <w:color w:val="auto"/>
          <w:sz w:val="32"/>
          <w:szCs w:val="32"/>
          <w:highlight w:val="none"/>
        </w:rPr>
      </w:pPr>
      <w:bookmarkStart w:id="56" w:name="_Toc25043"/>
      <w:bookmarkStart w:id="57" w:name="_Toc20908"/>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56"/>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57"/>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供</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应</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商：</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58" w:name="_Toc12430"/>
      <w:bookmarkStart w:id="59" w:name="_Toc12150"/>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58"/>
      <w:bookmarkEnd w:id="59"/>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60" w:name="_Toc461056631"/>
      <w:bookmarkStart w:id="61" w:name="_Toc461053086"/>
      <w:bookmarkStart w:id="62" w:name="_Toc23658"/>
      <w:bookmarkStart w:id="63" w:name="_Toc520983587"/>
      <w:bookmarkStart w:id="64" w:name="_Toc27513"/>
      <w:r>
        <w:rPr>
          <w:rFonts w:hint="eastAsia" w:asciiTheme="minorEastAsia" w:hAnsiTheme="minorEastAsia" w:eastAsiaTheme="minorEastAsia"/>
          <w:b/>
          <w:color w:val="auto"/>
          <w:sz w:val="24"/>
          <w:highlight w:val="none"/>
        </w:rPr>
        <w:t>一</w:t>
      </w:r>
      <w:bookmarkEnd w:id="60"/>
      <w:bookmarkEnd w:id="61"/>
      <w:r>
        <w:rPr>
          <w:rFonts w:hint="eastAsia" w:asciiTheme="minorEastAsia" w:hAnsiTheme="minorEastAsia" w:eastAsiaTheme="minorEastAsia"/>
          <w:b/>
          <w:color w:val="auto"/>
          <w:sz w:val="24"/>
          <w:highlight w:val="none"/>
        </w:rPr>
        <w:t>、报价表格式</w:t>
      </w:r>
      <w:bookmarkEnd w:id="62"/>
      <w:bookmarkEnd w:id="63"/>
      <w:bookmarkEnd w:id="64"/>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1-1 报价表</w:t>
      </w:r>
    </w:p>
    <w:p>
      <w:pPr>
        <w:snapToGrid w:val="0"/>
        <w:spacing w:line="360" w:lineRule="auto"/>
        <w:jc w:val="left"/>
        <w:rPr>
          <w:rFonts w:hint="default" w:ascii="宋体" w:hAnsi="宋体" w:eastAsia="宋体"/>
          <w:b/>
          <w:color w:val="auto"/>
          <w:sz w:val="24"/>
          <w:szCs w:val="28"/>
          <w:highlight w:val="none"/>
          <w:lang w:val="en-US" w:eastAsia="zh-CN"/>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hint="default" w:ascii="宋体" w:hAnsi="宋体" w:eastAsia="宋体"/>
          <w:b/>
          <w:bCs/>
          <w:color w:val="auto"/>
          <w:sz w:val="24"/>
          <w:szCs w:val="28"/>
          <w:highlight w:val="none"/>
          <w:u w:val="single"/>
          <w:lang w:val="en-US" w:eastAsia="zh-CN"/>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lang w:val="en-US" w:eastAsia="zh-CN"/>
        </w:rPr>
        <w:t xml:space="preserve">               </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color w:val="auto"/>
                <w:sz w:val="24"/>
                <w:highlight w:val="none"/>
              </w:rPr>
              <w:t>谈判范围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jc w:val="left"/>
              <w:rPr>
                <w:rFonts w:ascii="宋体" w:hAnsi="宋体" w:eastAsia="宋体" w:cs="宋体"/>
                <w:bCs/>
                <w:color w:val="auto"/>
                <w:szCs w:val="21"/>
                <w:highlight w:val="none"/>
                <w:u w:val="single"/>
              </w:rPr>
            </w:pPr>
            <w:r>
              <w:rPr>
                <w:rFonts w:hint="eastAsia" w:ascii="宋体" w:hAnsi="宋体" w:eastAsia="宋体" w:cs="宋体"/>
                <w:bCs/>
                <w:color w:val="auto"/>
                <w:szCs w:val="21"/>
                <w:highlight w:val="none"/>
              </w:rPr>
              <w:t>大写：</w:t>
            </w:r>
            <w:r>
              <w:rPr>
                <w:rFonts w:hint="eastAsia" w:ascii="宋体" w:hAnsi="宋体" w:eastAsia="宋体" w:cs="宋体"/>
                <w:bCs/>
                <w:color w:val="auto"/>
                <w:szCs w:val="21"/>
                <w:highlight w:val="none"/>
                <w:u w:val="single"/>
              </w:rPr>
              <w:t xml:space="preserve">                     </w:t>
            </w:r>
          </w:p>
          <w:p>
            <w:pPr>
              <w:snapToGrid w:val="0"/>
              <w:spacing w:line="360" w:lineRule="auto"/>
              <w:rPr>
                <w:rFonts w:ascii="宋体" w:hAnsi="宋体" w:eastAsia="宋体"/>
                <w:b/>
                <w:color w:val="auto"/>
                <w:sz w:val="24"/>
                <w:highlight w:val="none"/>
              </w:rPr>
            </w:pPr>
            <w:r>
              <w:rPr>
                <w:rFonts w:hint="eastAsia" w:ascii="宋体" w:hAnsi="宋体" w:eastAsia="宋体" w:cs="宋体"/>
                <w:bCs/>
                <w:color w:val="auto"/>
                <w:szCs w:val="21"/>
                <w:highlight w:val="none"/>
              </w:rPr>
              <w:t>小写：</w:t>
            </w:r>
            <w:r>
              <w:rPr>
                <w:rFonts w:hint="eastAsia" w:ascii="宋体" w:hAnsi="宋体" w:eastAsia="宋体" w:cs="宋体"/>
                <w:bCs/>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adjustRightInd w:val="0"/>
        <w:snapToGrid w:val="0"/>
        <w:spacing w:line="360" w:lineRule="auto"/>
        <w:rPr>
          <w:rFonts w:ascii="宋体" w:hAnsi="宋体" w:eastAsia="宋体"/>
          <w:b/>
          <w:bCs/>
          <w:color w:val="auto"/>
          <w:sz w:val="24"/>
          <w:szCs w:val="28"/>
          <w:highlight w:val="none"/>
        </w:rPr>
      </w:pPr>
    </w:p>
    <w:p>
      <w:pPr>
        <w:adjustRightInd w:val="0"/>
        <w:snapToGrid w:val="0"/>
        <w:spacing w:line="360" w:lineRule="auto"/>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注：</w:t>
      </w:r>
    </w:p>
    <w:p>
      <w:pPr>
        <w:adjustRightInd w:val="0"/>
        <w:snapToGrid w:val="0"/>
        <w:spacing w:line="360" w:lineRule="auto"/>
        <w:ind w:firstLine="482" w:firstLineChars="200"/>
        <w:rPr>
          <w:rFonts w:ascii="宋体" w:hAnsi="宋体" w:eastAsia="宋体"/>
          <w:color w:val="auto"/>
          <w:sz w:val="24"/>
          <w:highlight w:val="none"/>
        </w:rPr>
      </w:pPr>
      <w:r>
        <w:rPr>
          <w:rFonts w:hint="eastAsia" w:ascii="宋体" w:hAnsi="宋体" w:eastAsia="宋体"/>
          <w:b/>
          <w:bCs/>
          <w:color w:val="auto"/>
          <w:sz w:val="24"/>
          <w:szCs w:val="28"/>
          <w:highlight w:val="none"/>
        </w:rPr>
        <w:t>1.本表内容根据谈判文件要求包括了货物及其配套的设计、采购、制造、检测、试验、运输、保险、仓储、税费以及现场落地、安装及安装耗损、调试、培训、技术服务（包括技术资料、图纸的提供）质保期内的售后服务保障等所有费用。</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2.特殊事项在备注中注明。</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3.表中大写金额与小写金额不一致的，以大写金额为准。</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1-2 分项报价明细表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460"/>
        <w:gridCol w:w="1450"/>
        <w:gridCol w:w="1450"/>
        <w:gridCol w:w="744"/>
        <w:gridCol w:w="744"/>
        <w:gridCol w:w="1007"/>
        <w:gridCol w:w="1007"/>
        <w:gridCol w:w="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7" w:type="pct"/>
            <w:vAlign w:val="center"/>
          </w:tcPr>
          <w:p>
            <w:pPr>
              <w:pStyle w:val="28"/>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序号</w:t>
            </w:r>
          </w:p>
        </w:tc>
        <w:tc>
          <w:tcPr>
            <w:tcW w:w="78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货物名称</w:t>
            </w:r>
          </w:p>
        </w:tc>
        <w:tc>
          <w:tcPr>
            <w:tcW w:w="776"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品牌、型</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号</w:t>
            </w:r>
          </w:p>
        </w:tc>
        <w:tc>
          <w:tcPr>
            <w:tcW w:w="776"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原产地及</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生产厂商</w:t>
            </w:r>
          </w:p>
        </w:tc>
        <w:tc>
          <w:tcPr>
            <w:tcW w:w="398"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单位</w:t>
            </w:r>
          </w:p>
        </w:tc>
        <w:tc>
          <w:tcPr>
            <w:tcW w:w="398"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数量</w:t>
            </w:r>
          </w:p>
        </w:tc>
        <w:tc>
          <w:tcPr>
            <w:tcW w:w="539"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单价</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539"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小计</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396"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Borders>
              <w:bottom w:val="single" w:color="auto" w:sz="4" w:space="0"/>
            </w:tcBorders>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8</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9</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10</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11</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12</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13</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p>
        </w:tc>
        <w:tc>
          <w:tcPr>
            <w:tcW w:w="781" w:type="pct"/>
            <w:vAlign w:val="center"/>
          </w:tcPr>
          <w:p>
            <w:pPr>
              <w:pStyle w:val="36"/>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其他费用</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p>
        </w:tc>
        <w:tc>
          <w:tcPr>
            <w:tcW w:w="781"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p>
        </w:tc>
        <w:tc>
          <w:tcPr>
            <w:tcW w:w="781" w:type="pct"/>
          </w:tcPr>
          <w:p>
            <w:pPr>
              <w:pStyle w:val="36"/>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p>
        </w:tc>
        <w:tc>
          <w:tcPr>
            <w:tcW w:w="781"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178" w:type="pct"/>
            <w:gridSpan w:val="2"/>
            <w:vAlign w:val="center"/>
          </w:tcPr>
          <w:p>
            <w:pPr>
              <w:pStyle w:val="36"/>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合计（元）</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pStyle w:val="12"/>
        <w:spacing w:line="360" w:lineRule="auto"/>
        <w:jc w:val="right"/>
        <w:rPr>
          <w:rFonts w:ascii="宋体" w:hAnsi="宋体"/>
          <w:color w:val="auto"/>
          <w:sz w:val="24"/>
          <w:highlight w:val="none"/>
        </w:rPr>
      </w:pPr>
    </w:p>
    <w:p>
      <w:pPr>
        <w:adjustRightInd w:val="0"/>
        <w:snapToGrid w:val="0"/>
        <w:spacing w:line="360" w:lineRule="auto"/>
        <w:rPr>
          <w:rFonts w:hint="eastAsia" w:asciiTheme="minorEastAsia" w:hAnsiTheme="minorEastAsia" w:eastAsiaTheme="minorEastAsia"/>
          <w:b/>
          <w:bCs/>
          <w:color w:val="auto"/>
          <w:sz w:val="24"/>
          <w:szCs w:val="28"/>
          <w:highlight w:val="none"/>
          <w:lang w:eastAsia="zh-CN"/>
        </w:rPr>
      </w:pPr>
      <w:r>
        <w:rPr>
          <w:rFonts w:hint="eastAsia" w:asciiTheme="minorEastAsia" w:hAnsiTheme="minorEastAsia" w:eastAsiaTheme="minorEastAsia"/>
          <w:b/>
          <w:bCs/>
          <w:color w:val="auto"/>
          <w:sz w:val="24"/>
          <w:szCs w:val="28"/>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供应商承担全部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2.表中须明确列出所投产品的货物名称、品牌、型号、原产地及生产厂商，否则可能导致</w:t>
      </w:r>
      <w:r>
        <w:rPr>
          <w:rFonts w:hint="eastAsia" w:asciiTheme="minorEastAsia" w:hAnsiTheme="minorEastAsia" w:eastAsiaTheme="minorEastAsia"/>
          <w:b/>
          <w:bCs/>
          <w:color w:val="auto"/>
          <w:sz w:val="24"/>
          <w:highlight w:val="none"/>
        </w:rPr>
        <w:t>响应无效</w:t>
      </w:r>
      <w:r>
        <w:rPr>
          <w:rFonts w:hint="eastAsia" w:asciiTheme="minorEastAsia" w:hAnsiTheme="minorEastAsia" w:eastAsiaTheme="minorEastAsia"/>
          <w:color w:val="auto"/>
          <w:sz w:val="24"/>
          <w:highlight w:val="none"/>
        </w:rPr>
        <w:t>。</w:t>
      </w:r>
    </w:p>
    <w:p>
      <w:pPr>
        <w:widowControl/>
        <w:jc w:val="left"/>
        <w:rPr>
          <w:rFonts w:asciiTheme="minorEastAsia" w:hAnsiTheme="minorEastAsia" w:eastAsiaTheme="minorEastAsia"/>
          <w:color w:val="auto"/>
          <w:sz w:val="24"/>
          <w:highlight w:val="none"/>
        </w:rPr>
      </w:pPr>
      <w:bookmarkStart w:id="65" w:name="_Toc461056632"/>
      <w:bookmarkStart w:id="66" w:name="_Toc461053087"/>
      <w:bookmarkStart w:id="67" w:name="_Toc520983588"/>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68" w:name="_Toc13918"/>
      <w:bookmarkStart w:id="69" w:name="_Toc127"/>
      <w:r>
        <w:rPr>
          <w:rFonts w:hint="eastAsia" w:asciiTheme="minorEastAsia" w:hAnsiTheme="minorEastAsia" w:eastAsiaTheme="minorEastAsia"/>
          <w:b/>
          <w:color w:val="auto"/>
          <w:sz w:val="24"/>
          <w:highlight w:val="none"/>
        </w:rPr>
        <w:t>二</w:t>
      </w:r>
      <w:bookmarkEnd w:id="65"/>
      <w:bookmarkEnd w:id="66"/>
      <w:r>
        <w:rPr>
          <w:rFonts w:hint="eastAsia" w:asciiTheme="minorEastAsia" w:hAnsiTheme="minorEastAsia" w:eastAsiaTheme="minorEastAsia"/>
          <w:b/>
          <w:color w:val="auto"/>
          <w:sz w:val="24"/>
          <w:highlight w:val="none"/>
        </w:rPr>
        <w:t>、最后承诺报价表</w:t>
      </w:r>
      <w:bookmarkEnd w:id="67"/>
      <w:bookmarkEnd w:id="68"/>
      <w:bookmarkEnd w:id="69"/>
    </w:p>
    <w:p>
      <w:pPr>
        <w:spacing w:before="156" w:beforeLines="50" w:after="156" w:afterLines="50" w:line="360" w:lineRule="auto"/>
        <w:ind w:firstLine="236" w:firstLineChars="98"/>
        <w:jc w:val="center"/>
        <w:rPr>
          <w:rFonts w:ascii="宋体" w:hAnsi="宋体" w:eastAsia="宋体"/>
          <w:b/>
          <w:color w:val="auto"/>
          <w:sz w:val="24"/>
          <w:szCs w:val="28"/>
          <w:highlight w:val="none"/>
        </w:rPr>
      </w:pPr>
      <w:r>
        <w:rPr>
          <w:rFonts w:hint="eastAsia" w:ascii="宋体" w:hAnsi="宋体" w:eastAsia="宋体"/>
          <w:b/>
          <w:color w:val="auto"/>
          <w:sz w:val="24"/>
          <w:szCs w:val="28"/>
          <w:highlight w:val="none"/>
        </w:rPr>
        <w:t>（第</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rPr>
        <w:t>次报价书）</w:t>
      </w:r>
    </w:p>
    <w:p>
      <w:pPr>
        <w:snapToGrid w:val="0"/>
        <w:spacing w:line="360" w:lineRule="auto"/>
        <w:jc w:val="left"/>
        <w:rPr>
          <w:rFonts w:hint="default" w:ascii="宋体" w:hAnsi="宋体" w:eastAsia="宋体"/>
          <w:b/>
          <w:color w:val="auto"/>
          <w:sz w:val="24"/>
          <w:szCs w:val="28"/>
          <w:highlight w:val="none"/>
          <w:lang w:val="en-US" w:eastAsia="zh-CN"/>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hint="default" w:ascii="宋体" w:hAnsi="宋体" w:eastAsia="宋体"/>
          <w:b/>
          <w:bCs/>
          <w:color w:val="auto"/>
          <w:sz w:val="24"/>
          <w:szCs w:val="28"/>
          <w:highlight w:val="none"/>
          <w:lang w:val="en-US" w:eastAsia="zh-CN"/>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lang w:val="en-US" w:eastAsia="zh-CN"/>
        </w:rPr>
        <w:t xml:space="preserve">             </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bCs/>
                <w:color w:val="auto"/>
                <w:sz w:val="24"/>
                <w:szCs w:val="28"/>
                <w:highlight w:val="none"/>
              </w:rPr>
              <w:t>谈判</w:t>
            </w:r>
            <w:r>
              <w:rPr>
                <w:rFonts w:hint="eastAsia" w:ascii="宋体" w:hAnsi="宋体" w:eastAsia="宋体"/>
                <w:b/>
                <w:color w:val="auto"/>
                <w:sz w:val="24"/>
                <w:highlight w:val="none"/>
              </w:rPr>
              <w:t>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最后报价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jc w:val="left"/>
              <w:rPr>
                <w:rFonts w:ascii="宋体" w:hAnsi="宋体" w:eastAsia="宋体" w:cs="宋体"/>
                <w:bCs/>
                <w:color w:val="auto"/>
                <w:szCs w:val="21"/>
                <w:highlight w:val="none"/>
                <w:u w:val="single"/>
              </w:rPr>
            </w:pPr>
            <w:r>
              <w:rPr>
                <w:rFonts w:hint="eastAsia" w:ascii="宋体" w:hAnsi="宋体" w:eastAsia="宋体" w:cs="宋体"/>
                <w:bCs/>
                <w:color w:val="auto"/>
                <w:szCs w:val="21"/>
                <w:highlight w:val="none"/>
              </w:rPr>
              <w:t>大写：</w:t>
            </w:r>
            <w:r>
              <w:rPr>
                <w:rFonts w:hint="eastAsia" w:ascii="宋体" w:hAnsi="宋体" w:eastAsia="宋体" w:cs="宋体"/>
                <w:bCs/>
                <w:color w:val="auto"/>
                <w:szCs w:val="21"/>
                <w:highlight w:val="none"/>
                <w:u w:val="single"/>
              </w:rPr>
              <w:t xml:space="preserve">                     </w:t>
            </w:r>
          </w:p>
          <w:p>
            <w:pPr>
              <w:snapToGrid w:val="0"/>
              <w:spacing w:line="360" w:lineRule="auto"/>
              <w:rPr>
                <w:rFonts w:ascii="宋体" w:hAnsi="宋体" w:eastAsia="宋体"/>
                <w:b/>
                <w:color w:val="auto"/>
                <w:sz w:val="24"/>
                <w:highlight w:val="none"/>
              </w:rPr>
            </w:pPr>
            <w:r>
              <w:rPr>
                <w:rFonts w:hint="eastAsia" w:ascii="宋体" w:hAnsi="宋体" w:eastAsia="宋体" w:cs="宋体"/>
                <w:bCs/>
                <w:color w:val="auto"/>
                <w:szCs w:val="21"/>
                <w:highlight w:val="none"/>
              </w:rPr>
              <w:t>小写：</w:t>
            </w:r>
            <w:r>
              <w:rPr>
                <w:rFonts w:hint="eastAsia" w:ascii="宋体" w:hAnsi="宋体" w:eastAsia="宋体" w:cs="宋体"/>
                <w:bCs/>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r>
              <w:rPr>
                <w:rFonts w:hint="eastAsia" w:ascii="宋体" w:hAnsi="宋体" w:eastAsia="宋体"/>
                <w:b/>
                <w:i/>
                <w:color w:val="auto"/>
                <w:sz w:val="24"/>
                <w:highlight w:val="none"/>
              </w:rPr>
              <w:t>（此处可补充谈判小组根据与供应商谈判情况变动的谈判文件的内容，包括采购需求中的技术、服务要求以及合同草案条款。）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谈判小组</w:t>
            </w:r>
            <w:r>
              <w:rPr>
                <w:rFonts w:ascii="宋体" w:hAnsi="宋体" w:eastAsia="宋体"/>
                <w:b/>
                <w:bCs/>
                <w:color w:val="auto"/>
                <w:sz w:val="24"/>
                <w:szCs w:val="28"/>
                <w:highlight w:val="none"/>
              </w:rPr>
              <w:t>签字</w:t>
            </w:r>
          </w:p>
        </w:tc>
        <w:tc>
          <w:tcPr>
            <w:tcW w:w="3557" w:type="pct"/>
          </w:tcPr>
          <w:p>
            <w:pPr>
              <w:spacing w:line="360" w:lineRule="auto"/>
              <w:rPr>
                <w:rFonts w:ascii="宋体" w:hAnsi="宋体" w:eastAsia="宋体"/>
                <w:b/>
                <w:color w:val="auto"/>
                <w:sz w:val="24"/>
                <w:highlight w:val="none"/>
              </w:rPr>
            </w:pPr>
          </w:p>
        </w:tc>
      </w:tr>
    </w:tbl>
    <w:p>
      <w:pPr>
        <w:spacing w:line="360" w:lineRule="auto"/>
        <w:ind w:firstLine="1680" w:firstLineChars="700"/>
        <w:jc w:val="left"/>
        <w:rPr>
          <w:rFonts w:ascii="宋体" w:hAnsi="宋体" w:eastAsia="宋体"/>
          <w:color w:val="auto"/>
          <w:sz w:val="24"/>
          <w:highlight w:val="none"/>
        </w:rPr>
      </w:pPr>
      <w:r>
        <w:rPr>
          <w:rFonts w:hint="eastAsia" w:ascii="宋体" w:hAnsi="宋体" w:eastAsia="宋体"/>
          <w:color w:val="auto"/>
          <w:sz w:val="24"/>
          <w:highlight w:val="none"/>
        </w:rPr>
        <w:t xml:space="preserve">                     供应商公章或授权代表签字：</w:t>
      </w:r>
    </w:p>
    <w:p>
      <w:pPr>
        <w:spacing w:line="360" w:lineRule="auto"/>
        <w:ind w:firstLine="4200" w:firstLineChars="1750"/>
        <w:jc w:val="left"/>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spacing w:line="360" w:lineRule="auto"/>
        <w:ind w:firstLine="4200" w:firstLineChars="1750"/>
        <w:jc w:val="left"/>
        <w:rPr>
          <w:rFonts w:ascii="宋体" w:hAnsi="宋体" w:eastAsia="宋体"/>
          <w:color w:val="auto"/>
          <w:sz w:val="24"/>
          <w:highlight w:val="none"/>
        </w:rPr>
      </w:pP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color w:val="auto"/>
          <w:sz w:val="24"/>
          <w:highlight w:val="none"/>
        </w:rPr>
        <w:t>注：1.</w:t>
      </w:r>
      <w:r>
        <w:rPr>
          <w:rFonts w:hint="eastAsia" w:ascii="宋体" w:hAnsi="宋体" w:eastAsia="宋体"/>
          <w:b/>
          <w:bCs/>
          <w:color w:val="auto"/>
          <w:sz w:val="24"/>
          <w:highlight w:val="none"/>
        </w:rPr>
        <w:t>本页《报价表》由供应商在接到报价通知后依据谈判情况填写,并在规定时间内提交。</w:t>
      </w:r>
      <w:r>
        <w:rPr>
          <w:rFonts w:hint="eastAsia" w:asciiTheme="minorEastAsia" w:hAnsiTheme="minorEastAsia" w:eastAsiaTheme="minorEastAsia"/>
          <w:color w:val="auto"/>
          <w:sz w:val="24"/>
          <w:highlight w:val="none"/>
        </w:rPr>
        <w:t>考虑谈判报价的方便，供应商在填写最后承诺报价后，（第一次报价-最后承诺报价）除以第一次报价后得出的优惠率视同为需求表中全部分项设备、工程量或服务的优惠浮动值（特定分项优惠除外），而不考虑措施项目清单和规费税金清单的金额改变。此优惠率调整原则适用于合同内价格的计算及项目增减、变更时价格的计算。</w:t>
      </w:r>
    </w:p>
    <w:p>
      <w:pPr>
        <w:spacing w:line="360" w:lineRule="auto"/>
        <w:ind w:firstLine="435"/>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2.表中大写金额与小写金额不一致的，以大写金额为准。</w:t>
      </w:r>
    </w:p>
    <w:p>
      <w:pPr>
        <w:spacing w:line="360" w:lineRule="auto"/>
        <w:ind w:firstLine="435"/>
        <w:rPr>
          <w:rFonts w:asciiTheme="minorEastAsia" w:hAnsiTheme="minorEastAsia" w:eastAsiaTheme="minorEastAsia"/>
          <w:b/>
          <w:bCs/>
          <w:color w:val="auto"/>
          <w:sz w:val="24"/>
          <w:highlight w:val="none"/>
        </w:rPr>
      </w:pPr>
    </w:p>
    <w:p>
      <w:pPr>
        <w:widowControl/>
        <w:jc w:val="left"/>
        <w:rPr>
          <w:rFonts w:asciiTheme="minorEastAsia" w:hAnsiTheme="minorEastAsia" w:eastAsiaTheme="minorEastAsia"/>
          <w:b/>
          <w:color w:val="auto"/>
          <w:sz w:val="24"/>
          <w:highlight w:val="none"/>
        </w:rPr>
      </w:pPr>
      <w:bookmarkStart w:id="70" w:name="_Toc520983591"/>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1" w:name="_Toc19122"/>
      <w:bookmarkStart w:id="72" w:name="_Toc24283"/>
      <w:r>
        <w:rPr>
          <w:rFonts w:hint="eastAsia" w:asciiTheme="minorEastAsia" w:hAnsiTheme="minorEastAsia" w:eastAsiaTheme="minorEastAsia"/>
          <w:b/>
          <w:color w:val="auto"/>
          <w:sz w:val="24"/>
          <w:highlight w:val="none"/>
        </w:rPr>
        <w:t>三、谈判响应函</w:t>
      </w:r>
      <w:bookmarkEnd w:id="70"/>
      <w:bookmarkEnd w:id="71"/>
      <w:bookmarkEnd w:id="72"/>
    </w:p>
    <w:p>
      <w:pPr>
        <w:pStyle w:val="12"/>
        <w:spacing w:line="360" w:lineRule="auto"/>
        <w:rPr>
          <w:rFonts w:hint="eastAsia" w:ascii="宋体" w:hAnsi="宋体" w:eastAsia="宋体"/>
          <w:color w:val="auto"/>
          <w:sz w:val="24"/>
          <w:highlight w:val="none"/>
          <w:lang w:eastAsia="zh-CN"/>
        </w:rPr>
      </w:pPr>
      <w:r>
        <w:rPr>
          <w:rFonts w:hint="eastAsia" w:ascii="宋体" w:hAnsi="宋体"/>
          <w:color w:val="auto"/>
          <w:sz w:val="24"/>
          <w:highlight w:val="none"/>
        </w:rPr>
        <w:t>致：</w:t>
      </w:r>
      <w:r>
        <w:rPr>
          <w:rFonts w:hint="eastAsia" w:ascii="宋体" w:hAnsi="宋体"/>
          <w:color w:val="auto"/>
          <w:sz w:val="24"/>
          <w:szCs w:val="24"/>
          <w:highlight w:val="none"/>
          <w:u w:val="none"/>
          <w:lang w:eastAsia="zh-CN"/>
        </w:rPr>
        <w:t>采购人</w:t>
      </w:r>
    </w:p>
    <w:p>
      <w:pPr>
        <w:spacing w:line="360" w:lineRule="auto"/>
        <w:ind w:firstLine="480" w:firstLineChars="200"/>
        <w:rPr>
          <w:rFonts w:ascii="宋体" w:hAnsi="宋体" w:eastAsia="宋体"/>
          <w:dstrike/>
          <w:color w:val="auto"/>
          <w:sz w:val="24"/>
          <w:highlight w:val="none"/>
        </w:rPr>
      </w:pPr>
      <w:r>
        <w:rPr>
          <w:rFonts w:hint="eastAsia" w:ascii="宋体" w:hAnsi="宋体" w:eastAsia="宋体"/>
          <w:color w:val="auto"/>
          <w:sz w:val="24"/>
          <w:highlight w:val="none"/>
        </w:rPr>
        <w:t>根据贵方的</w:t>
      </w:r>
      <w:bookmarkStart w:id="73" w:name="_Hlk44287576"/>
      <w:r>
        <w:rPr>
          <w:rFonts w:hint="eastAsia" w:ascii="宋体" w:hAnsi="宋体" w:eastAsia="宋体"/>
          <w:color w:val="auto"/>
          <w:sz w:val="24"/>
          <w:highlight w:val="none"/>
        </w:rPr>
        <w:t>竞争性谈判公告和谈判邀请</w:t>
      </w:r>
      <w:bookmarkEnd w:id="73"/>
      <w:r>
        <w:rPr>
          <w:rFonts w:hint="eastAsia" w:ascii="宋体" w:hAnsi="宋体" w:eastAsia="宋体"/>
          <w:color w:val="auto"/>
          <w:sz w:val="24"/>
          <w:highlight w:val="none"/>
        </w:rPr>
        <w:t>，我方兹宣布同意如下：</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1.我方根据本次谈判文件的规定，严格履行合同的责任和义务</w:t>
      </w:r>
      <w:r>
        <w:rPr>
          <w:rFonts w:ascii="宋体" w:hAnsi="宋体" w:eastAsia="宋体"/>
          <w:color w:val="auto"/>
          <w:sz w:val="24"/>
          <w:highlight w:val="none"/>
        </w:rPr>
        <w:t>,</w:t>
      </w:r>
      <w:r>
        <w:rPr>
          <w:rFonts w:hint="eastAsia" w:ascii="宋体" w:hAnsi="宋体" w:eastAsia="宋体"/>
          <w:color w:val="auto"/>
          <w:sz w:val="24"/>
          <w:highlight w:val="none"/>
        </w:rPr>
        <w:t>并保证于买方要求的日期内完成，并通过买方验收。</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.我方已详细审核本次谈判文件，包括谈判文件附件</w:t>
      </w:r>
      <w:r>
        <w:rPr>
          <w:rFonts w:hint="eastAsia" w:ascii="宋体" w:hAnsi="宋体" w:eastAsia="宋体"/>
          <w:color w:val="auto"/>
          <w:sz w:val="24"/>
          <w:highlight w:val="none"/>
          <w:lang w:val="en-US" w:eastAsia="zh-CN"/>
        </w:rPr>
        <w:t>及更正公告</w:t>
      </w:r>
      <w:r>
        <w:rPr>
          <w:rFonts w:hint="eastAsia" w:ascii="宋体" w:hAnsi="宋体" w:eastAsia="宋体"/>
          <w:color w:val="auto"/>
          <w:sz w:val="24"/>
          <w:highlight w:val="none"/>
        </w:rPr>
        <w:t>（如有），我方正式认可并遵守本次谈判文件，并对谈判文件各项条款、规定及要求均无异议。</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.我方同意从供应商须知规定的谈判日期起遵循本谈判文件，并在供应商须知规定的谈判有效期之前均具有约束力。</w:t>
      </w:r>
    </w:p>
    <w:p>
      <w:pPr>
        <w:spacing w:line="360" w:lineRule="auto"/>
        <w:ind w:firstLine="480" w:firstLineChars="200"/>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文件所提供的一切资料均真实无误、及时、有效，企业运营正常。由于我方提供资料不实而造成的责任和后果由我方承担。我方同意按照贵方提出的要求，提供与</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有关的任何证据、数据或资料。</w:t>
      </w:r>
    </w:p>
    <w:p>
      <w:pPr>
        <w:spacing w:line="360" w:lineRule="auto"/>
        <w:ind w:firstLine="3600" w:firstLineChars="1500"/>
        <w:rPr>
          <w:rFonts w:hint="eastAsia" w:ascii="宋体" w:hAnsi="宋体" w:eastAsia="宋体"/>
          <w:color w:val="auto"/>
          <w:sz w:val="24"/>
          <w:highlight w:val="none"/>
        </w:rPr>
      </w:pPr>
    </w:p>
    <w:p>
      <w:pPr>
        <w:spacing w:line="360" w:lineRule="auto"/>
        <w:ind w:firstLine="3600" w:firstLineChars="15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3600" w:firstLineChars="15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74" w:name="_Toc25337"/>
      <w:bookmarkStart w:id="75" w:name="_Toc204594911"/>
      <w:bookmarkStart w:id="76" w:name="_Toc10139"/>
      <w:bookmarkStart w:id="77" w:name="_Toc121626298"/>
      <w:bookmarkStart w:id="78" w:name="_Toc520983594"/>
      <w:bookmarkStart w:id="79" w:name="_Toc516969106"/>
      <w:r>
        <w:rPr>
          <w:rFonts w:hint="eastAsia" w:asciiTheme="minorEastAsia" w:hAnsiTheme="minorEastAsia" w:eastAsiaTheme="minorEastAsia"/>
          <w:b/>
          <w:color w:val="auto"/>
          <w:sz w:val="24"/>
          <w:highlight w:val="none"/>
          <w:lang w:val="en-US" w:eastAsia="zh-CN"/>
        </w:rPr>
        <w:t>四、供应商资格声明书</w:t>
      </w:r>
      <w:bookmarkEnd w:id="74"/>
      <w:r>
        <w:rPr>
          <w:rFonts w:hint="eastAsia" w:asciiTheme="minorEastAsia" w:hAnsiTheme="minorEastAsia" w:eastAsiaTheme="minorEastAsia"/>
          <w:b/>
          <w:color w:val="auto"/>
          <w:sz w:val="24"/>
          <w:highlight w:val="none"/>
          <w:lang w:val="en-US" w:eastAsia="zh-CN"/>
        </w:rPr>
        <w:t xml:space="preserve"> </w:t>
      </w:r>
    </w:p>
    <w:p>
      <w:pPr>
        <w:pStyle w:val="12"/>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在参与本次项目谈判中，我单位承诺：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3"/>
        <w:gridCol w:w="4873"/>
        <w:gridCol w:w="3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608"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1667"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608"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1667"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608"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1667"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hint="eastAsia" w:ascii="宋体" w:hAnsi="宋体" w:eastAsia="宋体"/>
          <w:color w:val="auto"/>
          <w:sz w:val="24"/>
          <w:highlight w:val="none"/>
          <w:lang w:val="en-US" w:eastAsia="zh-CN"/>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rPr>
          <w:rFonts w:hint="default" w:ascii="宋体" w:hAnsi="宋体" w:eastAsia="宋体"/>
          <w:color w:val="auto"/>
          <w:sz w:val="24"/>
          <w:highlight w:val="none"/>
          <w:lang w:val="en-US" w:eastAsia="zh-CN"/>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r>
        <w:rPr>
          <w:rFonts w:hint="eastAsia" w:ascii="宋体" w:hAnsi="宋体" w:eastAsia="宋体"/>
          <w:color w:val="auto"/>
          <w:sz w:val="24"/>
          <w:highlight w:val="none"/>
        </w:rPr>
        <w:t xml:space="preserve">             </w:t>
      </w:r>
    </w:p>
    <w:p>
      <w:pPr>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br w:type="page"/>
      </w:r>
    </w:p>
    <w:p>
      <w:pPr>
        <w:spacing w:line="360" w:lineRule="auto"/>
        <w:jc w:val="center"/>
        <w:outlineLvl w:val="1"/>
        <w:rPr>
          <w:rFonts w:asciiTheme="minorEastAsia" w:hAnsiTheme="minorEastAsia" w:eastAsiaTheme="minorEastAsia"/>
          <w:b/>
          <w:color w:val="auto"/>
          <w:sz w:val="24"/>
          <w:highlight w:val="none"/>
        </w:rPr>
      </w:pPr>
      <w:bookmarkStart w:id="80" w:name="_Toc15728"/>
      <w:r>
        <w:rPr>
          <w:rFonts w:hint="eastAsia" w:asciiTheme="minorEastAsia" w:hAnsiTheme="minorEastAsia" w:eastAsiaTheme="minorEastAsia"/>
          <w:b/>
          <w:color w:val="auto"/>
          <w:sz w:val="24"/>
          <w:highlight w:val="none"/>
          <w:lang w:val="en-US" w:eastAsia="zh-CN"/>
        </w:rPr>
        <w:t>五</w:t>
      </w:r>
      <w:r>
        <w:rPr>
          <w:rFonts w:hint="eastAsia" w:asciiTheme="minorEastAsia" w:hAnsiTheme="minorEastAsia" w:eastAsiaTheme="minorEastAsia"/>
          <w:b/>
          <w:color w:val="auto"/>
          <w:sz w:val="24"/>
          <w:highlight w:val="none"/>
        </w:rPr>
        <w:t>、授权书</w:t>
      </w:r>
      <w:bookmarkEnd w:id="75"/>
      <w:bookmarkEnd w:id="76"/>
      <w:bookmarkEnd w:id="77"/>
      <w:bookmarkEnd w:id="78"/>
      <w:bookmarkEnd w:id="79"/>
      <w:bookmarkEnd w:id="80"/>
    </w:p>
    <w:p>
      <w:pPr>
        <w:pStyle w:val="11"/>
        <w:snapToGrid w:val="0"/>
        <w:spacing w:line="360" w:lineRule="auto"/>
        <w:ind w:firstLine="480" w:firstLineChars="200"/>
        <w:jc w:val="left"/>
        <w:rPr>
          <w:rFonts w:hAnsi="宋体" w:eastAsia="宋体"/>
          <w:color w:val="auto"/>
          <w:sz w:val="24"/>
          <w:szCs w:val="28"/>
          <w:highlight w:val="none"/>
        </w:rPr>
      </w:pPr>
    </w:p>
    <w:p>
      <w:pPr>
        <w:pStyle w:val="11"/>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谈判过程的一切事宜，包括但不限于：提交响应文件、参与谈判、签约等。供应商授权代表在采购活动过程中所签署的一切文件和处理与之有关的一切事务，本公司均予以认可并对此承担责任。供应商授权代表无转委托权。特此授权。</w:t>
      </w:r>
    </w:p>
    <w:p>
      <w:pPr>
        <w:pStyle w:val="11"/>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pStyle w:val="11"/>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pStyle w:val="11"/>
        <w:snapToGrid w:val="0"/>
        <w:spacing w:line="360" w:lineRule="auto"/>
        <w:ind w:firstLine="480" w:firstLineChars="200"/>
        <w:jc w:val="left"/>
        <w:rPr>
          <w:rFonts w:hAnsi="宋体" w:eastAsia="宋体"/>
          <w:color w:val="auto"/>
          <w:sz w:val="24"/>
          <w:szCs w:val="28"/>
          <w:highlight w:val="none"/>
        </w:rPr>
      </w:pPr>
    </w:p>
    <w:p>
      <w:pPr>
        <w:spacing w:line="360" w:lineRule="auto"/>
        <w:ind w:firstLine="360" w:firstLineChars="150"/>
        <w:rPr>
          <w:rFonts w:ascii="宋体" w:hAnsi="宋体" w:eastAsia="宋体"/>
          <w:color w:val="auto"/>
          <w:sz w:val="24"/>
          <w:szCs w:val="28"/>
          <w:highlight w:val="none"/>
        </w:rPr>
      </w:pPr>
      <w:r>
        <w:rPr>
          <w:rFonts w:hint="eastAsia" w:ascii="宋体" w:hAnsi="宋体" w:eastAsia="宋体"/>
          <w:color w:val="auto"/>
          <w:sz w:val="24"/>
          <w:szCs w:val="28"/>
          <w:highlight w:val="none"/>
        </w:rPr>
        <w:t>特此声明。</w:t>
      </w:r>
    </w:p>
    <w:p>
      <w:pPr>
        <w:spacing w:line="360" w:lineRule="auto"/>
        <w:rPr>
          <w:rFonts w:ascii="宋体" w:hAnsi="宋体" w:eastAsia="宋体"/>
          <w:color w:val="auto"/>
          <w:sz w:val="24"/>
          <w:szCs w:val="28"/>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szCs w:val="28"/>
          <w:highlight w:val="non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rPr>
          <w:rFonts w:ascii="宋体" w:hAnsi="宋体" w:eastAsia="宋体"/>
          <w:color w:val="auto"/>
          <w:sz w:val="24"/>
          <w:szCs w:val="28"/>
          <w:highlight w:val="none"/>
        </w:rPr>
      </w:pPr>
    </w:p>
    <w:p>
      <w:pPr>
        <w:spacing w:line="360" w:lineRule="auto"/>
        <w:rPr>
          <w:rFonts w:ascii="宋体" w:hAnsi="宋体" w:eastAsia="宋体"/>
          <w:color w:val="auto"/>
          <w:sz w:val="24"/>
          <w:szCs w:val="28"/>
          <w:highlight w:val="none"/>
        </w:rPr>
      </w:pPr>
    </w:p>
    <w:p>
      <w:pPr>
        <w:pStyle w:val="11"/>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pPr>
        <w:pStyle w:val="11"/>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pPr>
        <w:pStyle w:val="11"/>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2.法定代表人参加谈判的无需提供授权书，仅提供身份证明扫描件。</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81" w:name="_Toc27733"/>
      <w:bookmarkStart w:id="82" w:name="_Toc15310"/>
      <w:r>
        <w:rPr>
          <w:rFonts w:hint="eastAsia" w:asciiTheme="minorEastAsia" w:hAnsiTheme="minorEastAsia" w:eastAsiaTheme="minorEastAsia"/>
          <w:b/>
          <w:color w:val="auto"/>
          <w:sz w:val="24"/>
          <w:highlight w:val="none"/>
        </w:rPr>
        <w:t>六、谈判响应表</w:t>
      </w:r>
      <w:bookmarkEnd w:id="81"/>
      <w:bookmarkEnd w:id="82"/>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rPr>
        <w:t>商务响应表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2101"/>
        <w:gridCol w:w="2738"/>
        <w:gridCol w:w="2824"/>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谈判文件要求</w:t>
            </w:r>
          </w:p>
        </w:tc>
        <w:tc>
          <w:tcPr>
            <w:tcW w:w="1511"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供应商承诺</w:t>
            </w:r>
          </w:p>
        </w:tc>
        <w:tc>
          <w:tcPr>
            <w:tcW w:w="47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供货及安装地点</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供货及安装期限</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pStyle w:val="36"/>
              <w:jc w:val="center"/>
              <w:rPr>
                <w:rFonts w:asciiTheme="minorEastAsia" w:hAnsiTheme="minorEastAsia" w:eastAsiaTheme="minorEastAsia"/>
                <w:color w:val="auto"/>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免费质保期</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pPr>
              <w:jc w:val="center"/>
              <w:rPr>
                <w:rFonts w:ascii="宋体" w:hAnsi="宋体" w:eastAsia="宋体"/>
                <w:color w:val="auto"/>
                <w:sz w:val="24"/>
                <w:highlight w:val="none"/>
              </w:rPr>
            </w:pP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技术响应表</w:t>
      </w:r>
    </w:p>
    <w:tbl>
      <w:tblPr>
        <w:tblStyle w:val="2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1710"/>
        <w:gridCol w:w="3139"/>
        <w:gridCol w:w="2721"/>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谈判文件规定的技术参数要求</w:t>
            </w:r>
          </w:p>
        </w:tc>
        <w:tc>
          <w:tcPr>
            <w:tcW w:w="1456"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6"/>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6"/>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bl>
    <w:p>
      <w:pPr>
        <w:spacing w:line="360" w:lineRule="auto"/>
        <w:ind w:firstLine="4800" w:firstLineChars="2000"/>
        <w:rPr>
          <w:rFonts w:hint="eastAsia" w:ascii="宋体" w:hAnsi="宋体" w:eastAsia="宋体"/>
          <w:color w:val="auto"/>
          <w:sz w:val="24"/>
          <w:highlight w:val="none"/>
          <w:lang w:val="en-US" w:eastAsia="zh-CN"/>
        </w:rPr>
      </w:pPr>
    </w:p>
    <w:p>
      <w:pPr>
        <w:spacing w:line="360" w:lineRule="auto"/>
        <w:ind w:firstLine="4800" w:firstLineChars="2000"/>
        <w:jc w:val="center"/>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jc w:val="center"/>
        <w:rPr>
          <w:rFonts w:ascii="宋体" w:hAnsi="宋体" w:eastAsia="宋体"/>
          <w:color w:val="auto"/>
          <w:sz w:val="24"/>
          <w:szCs w:val="28"/>
          <w:highlight w:val="non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pStyle w:val="12"/>
        <w:spacing w:line="360" w:lineRule="auto"/>
        <w:rPr>
          <w:rFonts w:asciiTheme="minorEastAsia" w:hAnsiTheme="minorEastAsia" w:eastAsiaTheme="minorEastAsia"/>
          <w:color w:val="auto"/>
          <w:sz w:val="24"/>
          <w:highlight w:val="none"/>
        </w:rPr>
      </w:pPr>
    </w:p>
    <w:p>
      <w:pPr>
        <w:pStyle w:val="12"/>
        <w:spacing w:line="360" w:lineRule="auto"/>
        <w:rPr>
          <w:rFonts w:asciiTheme="minorEastAsia" w:hAnsiTheme="minorEastAsia" w:eastAsiaTheme="minorEastAsia"/>
          <w:color w:val="auto"/>
          <w:sz w:val="24"/>
          <w:highlight w:val="none"/>
        </w:rPr>
      </w:pPr>
    </w:p>
    <w:p>
      <w:pPr>
        <w:pStyle w:val="12"/>
        <w:spacing w:line="360" w:lineRule="auto"/>
        <w:rPr>
          <w:rFonts w:asciiTheme="minorEastAsia" w:hAnsiTheme="minorEastAsia" w:eastAsiaTheme="minorEastAsia"/>
          <w:color w:val="auto"/>
          <w:sz w:val="24"/>
          <w:highlight w:val="none"/>
        </w:rPr>
      </w:pPr>
    </w:p>
    <w:p>
      <w:pPr>
        <w:pStyle w:val="12"/>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83" w:name="_Toc4193"/>
      <w:bookmarkStart w:id="84" w:name="_Toc27702"/>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、联合协议</w:t>
      </w:r>
      <w:bookmarkEnd w:id="83"/>
      <w:bookmarkEnd w:id="84"/>
    </w:p>
    <w:p>
      <w:pPr>
        <w:pStyle w:val="19"/>
        <w:spacing w:line="360" w:lineRule="auto"/>
        <w:rPr>
          <w:rFonts w:ascii="宋体" w:hAnsi="宋体" w:eastAsia="宋体"/>
          <w:b w:val="0"/>
          <w:i/>
          <w:color w:val="auto"/>
          <w:sz w:val="24"/>
          <w:highlight w:val="yellow"/>
        </w:rPr>
      </w:pPr>
      <w:r>
        <w:rPr>
          <w:rFonts w:hint="eastAsia" w:ascii="宋体" w:hAnsi="宋体" w:eastAsia="宋体"/>
          <w:b w:val="0"/>
          <w:i/>
          <w:color w:val="FF0000"/>
          <w:sz w:val="24"/>
          <w:highlight w:val="none"/>
        </w:rPr>
        <w:t>（不允许联合体参加谈判或未组成联合体的，不需此件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；允许联合体参加谈判且供应商为联合体参加谈判的，请将此件制成扫描件上传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本项目的谈判，</w:t>
      </w:r>
      <w:r>
        <w:rPr>
          <w:rFonts w:asciiTheme="minorEastAsia" w:hAnsiTheme="minorEastAsia" w:eastAsiaTheme="minorEastAsia"/>
          <w:color w:val="auto"/>
          <w:sz w:val="24"/>
          <w:highlight w:val="none"/>
        </w:rPr>
        <w:t>现就联合体参加谈判事宜订立如下协议：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谈判阶段，联合体牵头人负责谈判项目的一切组织、协调工作，并授权代理人以联合体的名义参加项目的谈判，代理人在谈判、合同签订过程中所签署的一切文件和处理与本次谈判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pStyle w:val="19"/>
        <w:spacing w:line="360" w:lineRule="auto"/>
        <w:rPr>
          <w:rFonts w:asciiTheme="minorEastAsia" w:hAnsiTheme="minorEastAsia" w:eastAsiaTheme="minorEastAsia"/>
          <w:color w:val="auto"/>
          <w:sz w:val="24"/>
          <w:highlight w:val="none"/>
        </w:rPr>
      </w:pPr>
    </w:p>
    <w:p>
      <w:pPr>
        <w:spacing w:line="360" w:lineRule="auto"/>
        <w:ind w:right="480" w:firstLine="4680" w:firstLineChars="19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bidi w:val="0"/>
      </w:pPr>
      <w:r>
        <w:br w:type="page"/>
      </w:r>
      <w:bookmarkStart w:id="85" w:name="_Hlk11531103"/>
      <w:bookmarkStart w:id="86" w:name="_Toc14690"/>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87" w:name="_Toc12439"/>
      <w:r>
        <w:rPr>
          <w:rFonts w:hint="eastAsia" w:asciiTheme="minorEastAsia" w:hAnsiTheme="minorEastAsia" w:eastAsiaTheme="minorEastAsia"/>
          <w:b/>
          <w:color w:val="auto"/>
          <w:sz w:val="24"/>
          <w:highlight w:val="none"/>
          <w:lang w:val="en-US" w:eastAsia="zh-CN"/>
        </w:rPr>
        <w:t>八．拟分包情况说明及分包意向协议</w:t>
      </w:r>
      <w:bookmarkEnd w:id="87"/>
    </w:p>
    <w:p>
      <w:pPr>
        <w:pStyle w:val="2"/>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spacing w:line="360" w:lineRule="auto"/>
        <w:jc w:val="center"/>
        <w:outlineLvl w:val="9"/>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2"/>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谈判，拟签订分包合同的单位情况如下表所示，我单位承诺一旦在该项目中获得采购合同将按下表所列情况进行分包，同时承诺分包承担主体不再次分包。</w:t>
      </w:r>
    </w:p>
    <w:tbl>
      <w:tblPr>
        <w:tblStyle w:val="53"/>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4"/>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4"/>
              <w:jc w:val="both"/>
              <w:rPr>
                <w:rFonts w:hint="eastAsia" w:ascii="宋体" w:hAnsi="宋体" w:eastAsia="宋体" w:cs="宋体"/>
              </w:rPr>
            </w:pPr>
          </w:p>
        </w:tc>
        <w:tc>
          <w:tcPr>
            <w:tcW w:w="1684" w:type="dxa"/>
            <w:vAlign w:val="center"/>
          </w:tcPr>
          <w:p>
            <w:pPr>
              <w:pStyle w:val="54"/>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4"/>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4"/>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4"/>
              <w:jc w:val="both"/>
              <w:rPr>
                <w:rFonts w:hint="eastAsia" w:ascii="宋体" w:hAnsi="宋体" w:eastAsia="宋体" w:cs="宋体"/>
              </w:rPr>
            </w:pPr>
          </w:p>
        </w:tc>
        <w:tc>
          <w:tcPr>
            <w:tcW w:w="1390" w:type="dxa"/>
            <w:vAlign w:val="center"/>
          </w:tcPr>
          <w:p>
            <w:pPr>
              <w:pStyle w:val="54"/>
              <w:jc w:val="both"/>
              <w:rPr>
                <w:rFonts w:hint="eastAsia" w:ascii="宋体" w:hAnsi="宋体" w:eastAsia="宋体" w:cs="宋体"/>
              </w:rPr>
            </w:pPr>
          </w:p>
        </w:tc>
        <w:tc>
          <w:tcPr>
            <w:tcW w:w="1497" w:type="dxa"/>
            <w:vAlign w:val="center"/>
          </w:tcPr>
          <w:p>
            <w:pPr>
              <w:pStyle w:val="54"/>
              <w:jc w:val="both"/>
              <w:rPr>
                <w:rFonts w:hint="eastAsia" w:ascii="宋体" w:hAnsi="宋体" w:eastAsia="宋体" w:cs="宋体"/>
              </w:rPr>
            </w:pPr>
          </w:p>
        </w:tc>
        <w:tc>
          <w:tcPr>
            <w:tcW w:w="1569" w:type="dxa"/>
            <w:vAlign w:val="center"/>
          </w:tcPr>
          <w:p>
            <w:pPr>
              <w:pStyle w:val="54"/>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4"/>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4"/>
              <w:jc w:val="both"/>
              <w:rPr>
                <w:rFonts w:hint="eastAsia" w:ascii="宋体" w:hAnsi="宋体" w:eastAsia="宋体" w:cs="宋体"/>
              </w:rPr>
            </w:pPr>
          </w:p>
        </w:tc>
        <w:tc>
          <w:tcPr>
            <w:tcW w:w="1684" w:type="dxa"/>
            <w:vAlign w:val="center"/>
          </w:tcPr>
          <w:p>
            <w:pPr>
              <w:pStyle w:val="54"/>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4"/>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4"/>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4"/>
              <w:jc w:val="both"/>
              <w:rPr>
                <w:rFonts w:hint="eastAsia" w:ascii="宋体" w:hAnsi="宋体" w:eastAsia="宋体" w:cs="宋体"/>
              </w:rPr>
            </w:pPr>
          </w:p>
        </w:tc>
        <w:tc>
          <w:tcPr>
            <w:tcW w:w="1390" w:type="dxa"/>
            <w:vAlign w:val="center"/>
          </w:tcPr>
          <w:p>
            <w:pPr>
              <w:pStyle w:val="54"/>
              <w:jc w:val="both"/>
              <w:rPr>
                <w:rFonts w:hint="eastAsia" w:ascii="宋体" w:hAnsi="宋体" w:eastAsia="宋体" w:cs="宋体"/>
              </w:rPr>
            </w:pPr>
          </w:p>
        </w:tc>
        <w:tc>
          <w:tcPr>
            <w:tcW w:w="1497" w:type="dxa"/>
            <w:vAlign w:val="center"/>
          </w:tcPr>
          <w:p>
            <w:pPr>
              <w:pStyle w:val="54"/>
              <w:jc w:val="both"/>
              <w:rPr>
                <w:rFonts w:hint="eastAsia" w:ascii="宋体" w:hAnsi="宋体" w:eastAsia="宋体" w:cs="宋体"/>
              </w:rPr>
            </w:pPr>
          </w:p>
        </w:tc>
        <w:tc>
          <w:tcPr>
            <w:tcW w:w="1569" w:type="dxa"/>
            <w:vAlign w:val="center"/>
          </w:tcPr>
          <w:p>
            <w:pPr>
              <w:pStyle w:val="54"/>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4"/>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4"/>
              <w:jc w:val="both"/>
              <w:rPr>
                <w:rFonts w:hint="eastAsia" w:ascii="宋体" w:hAnsi="宋体" w:eastAsia="宋体" w:cs="宋体"/>
              </w:rPr>
            </w:pPr>
          </w:p>
        </w:tc>
        <w:tc>
          <w:tcPr>
            <w:tcW w:w="1684" w:type="dxa"/>
            <w:vAlign w:val="center"/>
          </w:tcPr>
          <w:p>
            <w:pPr>
              <w:pStyle w:val="54"/>
              <w:jc w:val="both"/>
              <w:rPr>
                <w:rFonts w:hint="eastAsia" w:ascii="宋体" w:hAnsi="宋体" w:eastAsia="宋体" w:cs="宋体"/>
              </w:rPr>
            </w:pPr>
          </w:p>
        </w:tc>
        <w:tc>
          <w:tcPr>
            <w:tcW w:w="1122" w:type="dxa"/>
            <w:vAlign w:val="center"/>
          </w:tcPr>
          <w:p>
            <w:pPr>
              <w:pStyle w:val="54"/>
              <w:jc w:val="both"/>
              <w:rPr>
                <w:rFonts w:hint="eastAsia" w:ascii="宋体" w:hAnsi="宋体" w:eastAsia="宋体" w:cs="宋体"/>
              </w:rPr>
            </w:pPr>
          </w:p>
        </w:tc>
        <w:tc>
          <w:tcPr>
            <w:tcW w:w="1390" w:type="dxa"/>
            <w:vAlign w:val="center"/>
          </w:tcPr>
          <w:p>
            <w:pPr>
              <w:pStyle w:val="54"/>
              <w:jc w:val="both"/>
              <w:rPr>
                <w:rFonts w:hint="eastAsia" w:ascii="宋体" w:hAnsi="宋体" w:eastAsia="宋体" w:cs="宋体"/>
              </w:rPr>
            </w:pPr>
          </w:p>
        </w:tc>
        <w:tc>
          <w:tcPr>
            <w:tcW w:w="1497" w:type="dxa"/>
            <w:vAlign w:val="center"/>
          </w:tcPr>
          <w:p>
            <w:pPr>
              <w:pStyle w:val="54"/>
              <w:jc w:val="both"/>
              <w:rPr>
                <w:rFonts w:hint="eastAsia" w:ascii="宋体" w:hAnsi="宋体" w:eastAsia="宋体" w:cs="宋体"/>
              </w:rPr>
            </w:pPr>
          </w:p>
        </w:tc>
        <w:tc>
          <w:tcPr>
            <w:tcW w:w="1569" w:type="dxa"/>
            <w:vAlign w:val="center"/>
          </w:tcPr>
          <w:p>
            <w:pPr>
              <w:pStyle w:val="54"/>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4"/>
              <w:jc w:val="both"/>
              <w:rPr>
                <w:rFonts w:hint="eastAsia" w:ascii="宋体" w:hAnsi="宋体" w:eastAsia="宋体" w:cs="宋体"/>
              </w:rPr>
            </w:pPr>
          </w:p>
        </w:tc>
        <w:tc>
          <w:tcPr>
            <w:tcW w:w="1569" w:type="dxa"/>
            <w:vAlign w:val="center"/>
          </w:tcPr>
          <w:p>
            <w:pPr>
              <w:pStyle w:val="54"/>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如</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文件载明本项目分包承担主体应具备的相应资质条件，则</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val="en-US"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7" w:type="default"/>
          <w:footerReference r:id="rId8" w:type="default"/>
          <w:pgSz w:w="11907" w:h="16840"/>
          <w:pgMar w:top="1117" w:right="1078" w:bottom="1060" w:left="1700" w:header="510" w:footer="886" w:gutter="0"/>
          <w:pgNumType w:fmt="decimal"/>
          <w:cols w:space="720" w:num="1"/>
        </w:sectPr>
      </w:pPr>
    </w:p>
    <w:p>
      <w:pPr>
        <w:spacing w:line="360" w:lineRule="auto"/>
        <w:jc w:val="center"/>
        <w:outlineLvl w:val="9"/>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，代理人在项目采购过程中所签署的一切文件和处理与本次</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本协议书自签署之日起生效，未中标或者合同履行完毕后自动失效。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宋体" w:hAnsi="宋体" w:eastAsia="宋体"/>
          <w:color w:val="auto"/>
          <w:sz w:val="24"/>
          <w:highlight w:val="none"/>
          <w:lang w:val="en-US"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9"/>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hint="eastAsia" w:asciiTheme="minorEastAsia" w:hAnsiTheme="minorEastAsia" w:eastAsiaTheme="minorEastAsia"/>
          <w:b/>
          <w:color w:val="auto"/>
          <w:sz w:val="24"/>
          <w:highlight w:val="none"/>
        </w:rPr>
      </w:pPr>
      <w:r>
        <w:rPr>
          <w:rFonts w:hint="eastAsia" w:asciiTheme="minorEastAsia" w:hAnsiTheme="minorEastAsia" w:eastAsiaTheme="minorEastAsia"/>
          <w:b/>
          <w:bCs/>
          <w:sz w:val="24"/>
          <w:szCs w:val="28"/>
        </w:rPr>
        <w:t>注：</w:t>
      </w:r>
      <w:r>
        <w:rPr>
          <w:rFonts w:hint="eastAsia" w:asciiTheme="minorEastAsia" w:hAnsiTheme="minorEastAsia" w:eastAsiaTheme="minorEastAsia"/>
          <w:b w:val="0"/>
          <w:bCs w:val="0"/>
          <w:sz w:val="24"/>
          <w:szCs w:val="28"/>
        </w:rPr>
        <w:t>分包意向协议中须约定向中小企业分包的项目内容及分包内容占合同金额比例</w:t>
      </w:r>
      <w:r>
        <w:rPr>
          <w:rFonts w:hint="eastAsia" w:asciiTheme="minorEastAsia" w:hAnsiTheme="minorEastAsia" w:eastAsiaTheme="minorEastAsia"/>
          <w:b w:val="0"/>
          <w:bCs w:val="0"/>
          <w:sz w:val="24"/>
          <w:szCs w:val="28"/>
          <w:lang w:eastAsia="zh-CN"/>
        </w:rPr>
        <w:t>。</w:t>
      </w:r>
      <w:r>
        <w:rPr>
          <w:rFonts w:hint="eastAsia" w:asciiTheme="minorEastAsia" w:hAnsiTheme="minorEastAsia" w:eastAsiaTheme="minorEastAsia"/>
          <w:b/>
          <w:color w:val="auto"/>
          <w:sz w:val="24"/>
          <w:highlight w:val="none"/>
        </w:rPr>
        <w:br w:type="page"/>
      </w:r>
    </w:p>
    <w:bookmarkEnd w:id="85"/>
    <w:bookmarkEnd w:id="86"/>
    <w:p>
      <w:pPr>
        <w:spacing w:line="360" w:lineRule="auto"/>
        <w:jc w:val="center"/>
        <w:outlineLvl w:val="1"/>
        <w:rPr>
          <w:rFonts w:asciiTheme="minorEastAsia" w:hAnsiTheme="minorEastAsia" w:eastAsiaTheme="minorEastAsia"/>
          <w:b/>
          <w:color w:val="auto"/>
          <w:sz w:val="24"/>
          <w:highlight w:val="none"/>
        </w:rPr>
      </w:pPr>
      <w:bookmarkStart w:id="88" w:name="_Toc3780"/>
      <w:bookmarkStart w:id="89" w:name="_Toc6743"/>
      <w:bookmarkStart w:id="90" w:name="_Hlk60612781"/>
      <w:r>
        <w:rPr>
          <w:rFonts w:hint="eastAsia" w:asciiTheme="minorEastAsia" w:hAnsiTheme="minorEastAsia" w:eastAsiaTheme="minorEastAsia"/>
          <w:b/>
          <w:color w:val="auto"/>
          <w:sz w:val="24"/>
          <w:highlight w:val="none"/>
          <w:lang w:val="en-US" w:eastAsia="zh-CN"/>
        </w:rPr>
        <w:t>九</w:t>
      </w:r>
      <w:r>
        <w:rPr>
          <w:rFonts w:hint="eastAsia" w:asciiTheme="minorEastAsia" w:hAnsiTheme="minorEastAsia" w:eastAsiaTheme="minorEastAsia"/>
          <w:b/>
          <w:color w:val="auto"/>
          <w:sz w:val="24"/>
          <w:highlight w:val="none"/>
        </w:rPr>
        <w:t>、中小企业声明函</w:t>
      </w:r>
      <w:bookmarkEnd w:id="88"/>
      <w:bookmarkEnd w:id="89"/>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w:t>
      </w:r>
      <w:r>
        <w:rPr>
          <w:rFonts w:hint="eastAsia" w:ascii="宋体" w:hAnsi="宋体" w:eastAsia="宋体"/>
          <w:b w:val="0"/>
          <w:i/>
          <w:color w:val="auto"/>
          <w:sz w:val="24"/>
          <w:highlight w:val="none"/>
          <w:lang w:val="en-US" w:eastAsia="zh-CN"/>
        </w:rPr>
        <w:t>谈判，不需此件，请删去“中小企业声明函”）</w:t>
      </w:r>
    </w:p>
    <w:p>
      <w:pPr>
        <w:rPr>
          <w:rFonts w:asciiTheme="minorEastAsia" w:hAnsiTheme="minorEastAsia" w:eastAsiaTheme="minorEastAsia"/>
          <w:color w:val="auto"/>
          <w:sz w:val="24"/>
          <w:szCs w:val="24"/>
          <w:highlight w:val="none"/>
        </w:rPr>
      </w:pP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u w:val="single"/>
          <w:lang w:val="en-US" w:eastAsia="zh-CN"/>
        </w:rPr>
        <w:t>单位名称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 xml:space="preserve">采购活动，提供的货物全部由符合政策要求的中小企业制造。相关企业（含联合体中的中小企业、签订分包意向协议的中小企业）的具体情况如下：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bookmarkEnd w:id="90"/>
    <w:p>
      <w:pPr>
        <w:tabs>
          <w:tab w:val="left" w:pos="4620"/>
        </w:tabs>
        <w:spacing w:line="360" w:lineRule="auto"/>
        <w:jc w:val="left"/>
        <w:rPr>
          <w:rFonts w:hint="eastAsia" w:asciiTheme="minorEastAsia" w:hAnsiTheme="minorEastAsia" w:eastAsiaTheme="minorEastAsia"/>
          <w:b/>
          <w:color w:val="auto"/>
          <w:szCs w:val="24"/>
          <w:highlight w:val="none"/>
          <w:lang w:eastAsia="zh-CN"/>
        </w:rPr>
      </w:pPr>
      <w:bookmarkStart w:id="91" w:name="_Hlk60612992"/>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2.供应商应根据《政府采购促进中小企业发展管理办法》（财库﹝2020﹞46号）和《关于印发中小企业划型标准规定的通知》(工信部联企业〔2011〕300号)相关规定，如实填写中小企业声明函。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供应商自行登录工业和信息化部官网进行中小企业规模类型自测（查询网址https://www.miit.gov.cn/）。</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”，详见第三章采购需求中明确的“货物名称”。</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”，详见第三章采购需求中明确的“所属行业”。</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lang w:val="zh-CN"/>
        </w:rPr>
        <w:t>某设备</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rPr>
        <w:t>（填写第三章采购需求中对应货物的“所属行业”，如工业）</w:t>
      </w:r>
      <w:r>
        <w:rPr>
          <w:rFonts w:hint="eastAsia" w:ascii="宋体" w:hAnsi="宋体" w:eastAsia="宋体" w:cs="宋体"/>
          <w:b/>
          <w:bCs/>
          <w:color w:val="auto"/>
          <w:szCs w:val="21"/>
          <w:highlight w:val="none"/>
          <w:lang w:val="zh-CN"/>
        </w:rPr>
        <w:t>行业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lang w:val="zh-CN"/>
        </w:rPr>
        <w:t>小型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[供应商自行登录工业和信息化部官网进行中小企业规模类型自测（查询网址https://www.miit.gov.cn/）]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2" w:name="_Toc28572"/>
      <w:bookmarkStart w:id="93" w:name="_Toc23008"/>
      <w:r>
        <w:rPr>
          <w:rFonts w:hint="eastAsia" w:asciiTheme="minorEastAsia" w:hAnsiTheme="minorEastAsia" w:eastAsiaTheme="minorEastAsia"/>
          <w:b/>
          <w:color w:val="auto"/>
          <w:sz w:val="24"/>
          <w:highlight w:val="none"/>
        </w:rPr>
        <w:t>十、残疾人福利性单位声明函</w:t>
      </w:r>
      <w:bookmarkEnd w:id="92"/>
      <w:bookmarkEnd w:id="93"/>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（非残疾人福利性单位谈判，请删去“残疾人福利性单位声明函”）</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本单位郑重声明，根据《财政部 民政部 中国残疾人联合会关于促进残疾人就业政府采购政策的通知》（财库〔2017〕141号）的规定，本单位为</w:t>
      </w:r>
      <w:r>
        <w:rPr>
          <w:rFonts w:hint="eastAsia" w:asciiTheme="minorEastAsia" w:hAnsiTheme="minorEastAsia" w:eastAsiaTheme="minorEastAsia"/>
          <w:bCs/>
          <w:color w:val="auto"/>
          <w:spacing w:val="6"/>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bookmarkEnd w:id="91"/>
    <w:p>
      <w:pPr>
        <w:spacing w:line="360" w:lineRule="auto"/>
        <w:ind w:firstLine="435"/>
        <w:rPr>
          <w:rFonts w:cs="Cambria Math" w:asciiTheme="minorEastAsia" w:hAnsiTheme="minorEastAsia" w:eastAsiaTheme="minorEastAsia"/>
          <w:b/>
          <w:color w:val="auto"/>
          <w:sz w:val="24"/>
          <w:szCs w:val="24"/>
          <w:highlight w:val="none"/>
        </w:rPr>
      </w:pPr>
    </w:p>
    <w:p>
      <w:pPr>
        <w:spacing w:line="360" w:lineRule="auto"/>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4" w:name="_Toc21170"/>
      <w:bookmarkStart w:id="95" w:name="_Toc8563"/>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、诚信履约承诺函</w:t>
      </w:r>
      <w:bookmarkEnd w:id="94"/>
      <w:bookmarkEnd w:id="95"/>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供应商电子签章：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6" w:name="_Toc28661"/>
      <w:bookmarkStart w:id="97" w:name="_Toc29042"/>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、其他相关证明材料</w:t>
      </w:r>
      <w:bookmarkEnd w:id="96"/>
      <w:bookmarkEnd w:id="97"/>
    </w:p>
    <w:p>
      <w:pPr>
        <w:tabs>
          <w:tab w:val="left" w:pos="4620"/>
        </w:tabs>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提供符合谈判邀请、采购需求及评审方法和标准规定的相关证明文件。</w:t>
      </w:r>
    </w:p>
    <w:p>
      <w:pPr>
        <w:spacing w:line="360" w:lineRule="auto"/>
        <w:ind w:firstLine="435"/>
        <w:rPr>
          <w:rFonts w:asciiTheme="minorEastAsia" w:hAnsiTheme="minorEastAsia" w:eastAsiaTheme="minorEastAsia"/>
          <w:color w:val="auto"/>
          <w:sz w:val="24"/>
          <w:highlight w:val="none"/>
        </w:rPr>
      </w:pP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供应商在响应文件制作时可在此栏内上传谈判文件要求上传的证明资料，如营业执照、证书</w:t>
      </w:r>
      <w:r>
        <w:rPr>
          <w:rFonts w:asciiTheme="minorEastAsia" w:hAnsiTheme="minorEastAsia" w:eastAsiaTheme="minorEastAsia"/>
          <w:color w:val="auto"/>
          <w:sz w:val="24"/>
          <w:highlight w:val="none"/>
        </w:rPr>
        <w:t>等，应将上述证明材料制作成扫描件上传。</w:t>
      </w:r>
    </w:p>
    <w:p>
      <w:pPr>
        <w:widowControl/>
        <w:jc w:val="left"/>
        <w:rPr>
          <w:rFonts w:ascii="宋体" w:hAnsi="宋体" w:eastAsia="宋体"/>
          <w:bCs/>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98" w:name="_Toc60608832"/>
      <w:bookmarkStart w:id="99" w:name="_Toc10319"/>
      <w:bookmarkStart w:id="100" w:name="_Toc11034"/>
      <w:r>
        <w:rPr>
          <w:rFonts w:hint="eastAsia" w:ascii="宋体" w:hAnsi="宋体" w:eastAsia="宋体"/>
          <w:b/>
          <w:bCs/>
          <w:color w:val="auto"/>
          <w:sz w:val="28"/>
          <w:highlight w:val="none"/>
        </w:rPr>
        <w:t>第</w:t>
      </w:r>
      <w:r>
        <w:rPr>
          <w:rFonts w:hint="eastAsia" w:ascii="宋体" w:hAnsi="宋体" w:eastAsia="宋体"/>
          <w:b/>
          <w:bCs/>
          <w:color w:val="auto"/>
          <w:sz w:val="28"/>
          <w:highlight w:val="none"/>
          <w:lang w:val="en-US" w:eastAsia="zh-CN"/>
        </w:rPr>
        <w:t>七</w:t>
      </w:r>
      <w:r>
        <w:rPr>
          <w:rFonts w:hint="eastAsia" w:ascii="宋体" w:hAnsi="宋体" w:eastAsia="宋体"/>
          <w:b/>
          <w:bCs/>
          <w:color w:val="auto"/>
          <w:sz w:val="28"/>
          <w:highlight w:val="none"/>
        </w:rPr>
        <w:t>章</w:t>
      </w:r>
      <w:r>
        <w:rPr>
          <w:rFonts w:hint="eastAsia"/>
          <w:b/>
          <w:bCs/>
          <w:color w:val="auto"/>
          <w:sz w:val="28"/>
          <w:highlight w:val="none"/>
        </w:rPr>
        <w:t xml:space="preserve">  </w:t>
      </w:r>
      <w:bookmarkEnd w:id="98"/>
      <w:r>
        <w:rPr>
          <w:rFonts w:hint="eastAsia" w:ascii="宋体" w:hAnsi="宋体" w:eastAsia="宋体"/>
          <w:b/>
          <w:bCs/>
          <w:color w:val="auto"/>
          <w:sz w:val="28"/>
          <w:highlight w:val="none"/>
        </w:rPr>
        <w:t>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99"/>
      <w:bookmarkEnd w:id="100"/>
    </w:p>
    <w:p>
      <w:pPr>
        <w:spacing w:line="360" w:lineRule="auto"/>
        <w:jc w:val="center"/>
        <w:outlineLvl w:val="1"/>
        <w:rPr>
          <w:rFonts w:ascii="仿宋" w:hAnsi="仿宋" w:eastAsia="仿宋" w:cs="仿宋"/>
          <w:b/>
          <w:bCs/>
          <w:color w:val="auto"/>
          <w:sz w:val="32"/>
          <w:szCs w:val="44"/>
          <w:highlight w:val="none"/>
        </w:rPr>
      </w:pPr>
      <w:bookmarkStart w:id="101" w:name="_Toc28375"/>
      <w:bookmarkStart w:id="102" w:name="_Toc12954"/>
      <w:r>
        <w:rPr>
          <w:rFonts w:hint="eastAsia" w:ascii="仿宋" w:hAnsi="仿宋" w:eastAsia="仿宋" w:cs="仿宋"/>
          <w:b/>
          <w:bCs/>
          <w:color w:val="auto"/>
          <w:sz w:val="32"/>
          <w:szCs w:val="44"/>
          <w:highlight w:val="none"/>
        </w:rPr>
        <w:t>询问函范本</w:t>
      </w:r>
      <w:bookmarkEnd w:id="101"/>
      <w:bookmarkEnd w:id="102"/>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highlight w:val="yellow"/>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i/>
          <w:iCs/>
          <w:color w:val="auto"/>
          <w:sz w:val="24"/>
          <w:szCs w:val="24"/>
        </w:rPr>
        <w:t>(</w:t>
      </w:r>
      <w:r>
        <w:rPr>
          <w:rFonts w:hint="eastAsia" w:cs="仿宋" w:asciiTheme="minorEastAsia" w:hAnsiTheme="minorEastAsia" w:eastAsiaTheme="minorEastAsia"/>
          <w:i/>
          <w:iCs/>
          <w:color w:val="auto"/>
          <w:sz w:val="24"/>
          <w:szCs w:val="24"/>
          <w:u w:val="none"/>
        </w:rPr>
        <w:t>项目</w:t>
      </w:r>
      <w:r>
        <w:rPr>
          <w:rFonts w:hint="eastAsia" w:cs="仿宋" w:asciiTheme="minorEastAsia" w:hAnsiTheme="minorEastAsia" w:eastAsiaTheme="minorEastAsia"/>
          <w:i/>
          <w:iCs/>
          <w:color w:val="auto"/>
          <w:sz w:val="24"/>
          <w:szCs w:val="24"/>
          <w:u w:val="none"/>
          <w:lang w:val="en-US" w:eastAsia="zh-CN"/>
        </w:rPr>
        <w:t>名称、</w:t>
      </w:r>
      <w:r>
        <w:rPr>
          <w:rFonts w:hint="eastAsia" w:cs="仿宋" w:asciiTheme="minorEastAsia" w:hAnsiTheme="minorEastAsia" w:eastAsiaTheme="minorEastAsia"/>
          <w:i/>
          <w:iCs/>
          <w:color w:val="auto"/>
          <w:sz w:val="24"/>
          <w:szCs w:val="24"/>
          <w:u w:val="none"/>
        </w:rPr>
        <w:t>编号</w:t>
      </w:r>
      <w:r>
        <w:rPr>
          <w:rFonts w:hint="eastAsia" w:cs="仿宋" w:asciiTheme="minorEastAsia" w:hAnsiTheme="minorEastAsia" w:eastAsiaTheme="minorEastAsia"/>
          <w:i/>
          <w:iCs/>
          <w:color w:val="auto"/>
          <w:sz w:val="24"/>
          <w:szCs w:val="24"/>
        </w:rPr>
        <w:t>)</w:t>
      </w:r>
      <w:r>
        <w:rPr>
          <w:rFonts w:hint="eastAsia" w:cs="仿宋" w:asciiTheme="minorEastAsia" w:hAnsiTheme="minorEastAsia" w:eastAsiaTheme="minorEastAsia"/>
          <w:color w:val="auto"/>
          <w:sz w:val="24"/>
          <w:szCs w:val="24"/>
        </w:rPr>
        <w:t>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103" w:name="_Toc29009"/>
      <w:bookmarkStart w:id="104" w:name="_Toc23584"/>
      <w:r>
        <w:rPr>
          <w:rFonts w:hint="eastAsia" w:cs="仿宋" w:asciiTheme="minorEastAsia" w:hAnsiTheme="minorEastAsia" w:eastAsiaTheme="minorEastAsia"/>
          <w:color w:val="auto"/>
          <w:sz w:val="24"/>
          <w:szCs w:val="24"/>
          <w:highlight w:val="none"/>
        </w:rPr>
        <w:t>一、(事项一)</w:t>
      </w:r>
      <w:bookmarkEnd w:id="103"/>
      <w:bookmarkEnd w:id="104"/>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105" w:name="_Toc18220"/>
      <w:bookmarkStart w:id="106" w:name="_Toc16254"/>
      <w:r>
        <w:rPr>
          <w:rFonts w:hint="eastAsia" w:cs="仿宋" w:asciiTheme="minorEastAsia" w:hAnsiTheme="minorEastAsia" w:eastAsiaTheme="minorEastAsia"/>
          <w:color w:val="auto"/>
          <w:sz w:val="24"/>
          <w:szCs w:val="24"/>
          <w:highlight w:val="none"/>
        </w:rPr>
        <w:t>二、(事项二)</w:t>
      </w:r>
      <w:bookmarkEnd w:id="105"/>
      <w:bookmarkEnd w:id="106"/>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107" w:name="_Toc18073"/>
      <w:bookmarkStart w:id="108" w:name="_Toc6176"/>
      <w:r>
        <w:rPr>
          <w:rFonts w:hint="eastAsia" w:ascii="仿宋" w:hAnsi="仿宋" w:eastAsia="仿宋" w:cs="仿宋"/>
          <w:b/>
          <w:bCs/>
          <w:color w:val="auto"/>
          <w:sz w:val="32"/>
          <w:szCs w:val="44"/>
          <w:highlight w:val="none"/>
        </w:rPr>
        <w:t>质疑函范本</w:t>
      </w:r>
      <w:bookmarkEnd w:id="107"/>
      <w:bookmarkEnd w:id="108"/>
    </w:p>
    <w:p>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109" w:name="_Toc21548"/>
      <w:bookmarkStart w:id="110" w:name="_Toc17682"/>
      <w:r>
        <w:rPr>
          <w:rFonts w:hint="eastAsia" w:cs="仿宋" w:asciiTheme="minorEastAsia" w:hAnsiTheme="minorEastAsia" w:eastAsiaTheme="minorEastAsia"/>
          <w:b/>
          <w:bCs/>
          <w:color w:val="auto"/>
          <w:sz w:val="24"/>
          <w:szCs w:val="24"/>
          <w:highlight w:val="none"/>
        </w:rPr>
        <w:t>一、质疑供应商基本信息</w:t>
      </w:r>
      <w:bookmarkEnd w:id="109"/>
      <w:bookmarkEnd w:id="110"/>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r>
        <w:rPr>
          <w:rFonts w:cs="仿宋" w:asciiTheme="minorEastAsia" w:hAnsiTheme="minorEastAsia" w:eastAsiaTheme="minorEastAsia"/>
          <w:color w:val="auto"/>
          <w:sz w:val="24"/>
          <w:szCs w:val="24"/>
          <w:highlight w:val="none"/>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11" w:name="_Toc5180"/>
      <w:bookmarkStart w:id="112" w:name="_Toc9149"/>
      <w:r>
        <w:rPr>
          <w:rFonts w:hint="eastAsia" w:cs="仿宋" w:asciiTheme="minorEastAsia" w:hAnsiTheme="minorEastAsia" w:eastAsiaTheme="minorEastAsia"/>
          <w:b/>
          <w:bCs/>
          <w:color w:val="auto"/>
          <w:sz w:val="24"/>
          <w:szCs w:val="24"/>
          <w:highlight w:val="none"/>
        </w:rPr>
        <w:t>二、质疑项目基本情况</w:t>
      </w:r>
      <w:bookmarkEnd w:id="111"/>
      <w:bookmarkEnd w:id="112"/>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13" w:name="_Toc29996"/>
      <w:bookmarkStart w:id="114" w:name="_Toc14494"/>
      <w:r>
        <w:rPr>
          <w:rFonts w:hint="eastAsia" w:cs="仿宋" w:asciiTheme="minorEastAsia" w:hAnsiTheme="minorEastAsia" w:eastAsiaTheme="minorEastAsia"/>
          <w:b/>
          <w:bCs/>
          <w:color w:val="auto"/>
          <w:sz w:val="24"/>
          <w:szCs w:val="24"/>
          <w:highlight w:val="none"/>
        </w:rPr>
        <w:t>三、质疑事项具体内容</w:t>
      </w:r>
      <w:bookmarkEnd w:id="113"/>
      <w:bookmarkEnd w:id="114"/>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15" w:name="_Toc7296"/>
      <w:bookmarkStart w:id="116" w:name="_Toc814"/>
      <w:r>
        <w:rPr>
          <w:rFonts w:hint="eastAsia" w:cs="仿宋" w:asciiTheme="minorEastAsia" w:hAnsiTheme="minorEastAsia" w:eastAsiaTheme="minorEastAsia"/>
          <w:b/>
          <w:bCs/>
          <w:color w:val="auto"/>
          <w:sz w:val="24"/>
          <w:szCs w:val="24"/>
          <w:highlight w:val="none"/>
        </w:rPr>
        <w:t>四、与质疑事项相关的质疑请求</w:t>
      </w:r>
      <w:bookmarkEnd w:id="115"/>
      <w:bookmarkEnd w:id="116"/>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117" w:name="_Toc3093"/>
      <w:bookmarkStart w:id="118" w:name="_Toc26567"/>
      <w:r>
        <w:rPr>
          <w:rFonts w:hint="eastAsia" w:asciiTheme="minorEastAsia" w:hAnsiTheme="minorEastAsia" w:eastAsiaTheme="minorEastAsia"/>
          <w:b/>
          <w:color w:val="auto"/>
          <w:sz w:val="28"/>
          <w:szCs w:val="32"/>
          <w:highlight w:val="none"/>
        </w:rPr>
        <w:t>质疑函制作说明：</w:t>
      </w:r>
      <w:bookmarkEnd w:id="117"/>
      <w:bookmarkEnd w:id="118"/>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headerReference r:id="rId9" w:type="default"/>
      <w:footerReference r:id="rId10"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华文楷体">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Cambria Math">
    <w:panose1 w:val="02040503050406030204"/>
    <w:charset w:val="00"/>
    <w:family w:val="roman"/>
    <w:pitch w:val="default"/>
    <w:sig w:usb0="E00002FF" w:usb1="420024FF" w:usb2="00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b w:val="0"/>
                              <w:bCs w:val="0"/>
                              <w:sz w:val="18"/>
                              <w:szCs w:val="18"/>
                            </w:rPr>
                          </w:pPr>
                          <w:r>
                            <w:rPr>
                              <w:rFonts w:hint="eastAsia" w:ascii="宋体" w:hAnsi="宋体" w:eastAsia="宋体" w:cs="宋体"/>
                              <w:b w:val="0"/>
                              <w:bCs w:val="0"/>
                              <w:sz w:val="18"/>
                              <w:szCs w:val="18"/>
                            </w:rPr>
                            <w:t xml:space="preserve">第 </w:t>
                          </w:r>
                          <w:r>
                            <w:rPr>
                              <w:rFonts w:hint="eastAsia" w:ascii="宋体" w:hAnsi="宋体" w:eastAsia="宋体" w:cs="宋体"/>
                              <w:b w:val="0"/>
                              <w:bCs w:val="0"/>
                              <w:sz w:val="18"/>
                              <w:szCs w:val="18"/>
                            </w:rPr>
                            <w:fldChar w:fldCharType="begin"/>
                          </w:r>
                          <w:r>
                            <w:rPr>
                              <w:rFonts w:hint="eastAsia" w:ascii="宋体" w:hAnsi="宋体" w:eastAsia="宋体" w:cs="宋体"/>
                              <w:b w:val="0"/>
                              <w:bCs w:val="0"/>
                              <w:sz w:val="18"/>
                              <w:szCs w:val="18"/>
                            </w:rPr>
                            <w:instrText xml:space="preserve"> PAGE  \* MERGEFORMAT </w:instrText>
                          </w:r>
                          <w:r>
                            <w:rPr>
                              <w:rFonts w:hint="eastAsia" w:ascii="宋体" w:hAnsi="宋体" w:eastAsia="宋体" w:cs="宋体"/>
                              <w:b w:val="0"/>
                              <w:bCs w:val="0"/>
                              <w:sz w:val="18"/>
                              <w:szCs w:val="18"/>
                            </w:rPr>
                            <w:fldChar w:fldCharType="separate"/>
                          </w:r>
                          <w:r>
                            <w:rPr>
                              <w:rFonts w:hint="eastAsia" w:ascii="宋体" w:hAnsi="宋体" w:eastAsia="宋体" w:cs="宋体"/>
                              <w:b w:val="0"/>
                              <w:bCs w:val="0"/>
                              <w:sz w:val="18"/>
                              <w:szCs w:val="18"/>
                            </w:rPr>
                            <w:t>4</w:t>
                          </w:r>
                          <w:r>
                            <w:rPr>
                              <w:rFonts w:hint="eastAsia" w:ascii="宋体" w:hAnsi="宋体" w:eastAsia="宋体" w:cs="宋体"/>
                              <w:b w:val="0"/>
                              <w:bCs w:val="0"/>
                              <w:sz w:val="18"/>
                              <w:szCs w:val="18"/>
                            </w:rPr>
                            <w:fldChar w:fldCharType="end"/>
                          </w:r>
                          <w:r>
                            <w:rPr>
                              <w:rFonts w:hint="eastAsia" w:ascii="宋体" w:hAnsi="宋体" w:eastAsia="宋体" w:cs="宋体"/>
                              <w:b w:val="0"/>
                              <w:bCs w:val="0"/>
                              <w:sz w:val="18"/>
                              <w:szCs w:val="18"/>
                            </w:rPr>
                            <w:t xml:space="preserve"> 页 共 </w:t>
                          </w:r>
                          <w:r>
                            <w:rPr>
                              <w:rFonts w:hint="eastAsia" w:ascii="宋体" w:hAnsi="宋体" w:eastAsia="宋体" w:cs="宋体"/>
                              <w:b w:val="0"/>
                              <w:bCs w:val="0"/>
                              <w:sz w:val="18"/>
                              <w:szCs w:val="18"/>
                            </w:rPr>
                            <w:fldChar w:fldCharType="begin"/>
                          </w:r>
                          <w:r>
                            <w:rPr>
                              <w:rFonts w:hint="eastAsia" w:ascii="宋体" w:hAnsi="宋体" w:eastAsia="宋体" w:cs="宋体"/>
                              <w:b w:val="0"/>
                              <w:bCs w:val="0"/>
                              <w:sz w:val="18"/>
                              <w:szCs w:val="18"/>
                            </w:rPr>
                            <w:instrText xml:space="preserve"> NUMPAGES  \* MERGEFORMAT </w:instrText>
                          </w:r>
                          <w:r>
                            <w:rPr>
                              <w:rFonts w:hint="eastAsia" w:ascii="宋体" w:hAnsi="宋体" w:eastAsia="宋体" w:cs="宋体"/>
                              <w:b w:val="0"/>
                              <w:bCs w:val="0"/>
                              <w:sz w:val="18"/>
                              <w:szCs w:val="18"/>
                            </w:rPr>
                            <w:fldChar w:fldCharType="separate"/>
                          </w:r>
                          <w:r>
                            <w:rPr>
                              <w:rFonts w:hint="eastAsia" w:ascii="宋体" w:hAnsi="宋体" w:eastAsia="宋体" w:cs="宋体"/>
                              <w:b w:val="0"/>
                              <w:bCs w:val="0"/>
                              <w:sz w:val="18"/>
                              <w:szCs w:val="18"/>
                            </w:rPr>
                            <w:t>64</w:t>
                          </w:r>
                          <w:r>
                            <w:rPr>
                              <w:rFonts w:hint="eastAsia" w:ascii="宋体" w:hAnsi="宋体" w:eastAsia="宋体" w:cs="宋体"/>
                              <w:b w:val="0"/>
                              <w:bCs w:val="0"/>
                              <w:sz w:val="18"/>
                              <w:szCs w:val="18"/>
                            </w:rPr>
                            <w:fldChar w:fldCharType="end"/>
                          </w:r>
                          <w:r>
                            <w:rPr>
                              <w:rFonts w:hint="eastAsia" w:ascii="宋体" w:hAnsi="宋体" w:eastAsia="宋体" w:cs="宋体"/>
                              <w:b w:val="0"/>
                              <w:bCs w:val="0"/>
                              <w:sz w:val="18"/>
                              <w:szCs w:val="18"/>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b w:val="0"/>
                        <w:bCs w:val="0"/>
                        <w:sz w:val="18"/>
                        <w:szCs w:val="18"/>
                      </w:rPr>
                    </w:pPr>
                    <w:r>
                      <w:rPr>
                        <w:rFonts w:hint="eastAsia" w:ascii="宋体" w:hAnsi="宋体" w:eastAsia="宋体" w:cs="宋体"/>
                        <w:b w:val="0"/>
                        <w:bCs w:val="0"/>
                        <w:sz w:val="18"/>
                        <w:szCs w:val="18"/>
                      </w:rPr>
                      <w:t xml:space="preserve">第 </w:t>
                    </w:r>
                    <w:r>
                      <w:rPr>
                        <w:rFonts w:hint="eastAsia" w:ascii="宋体" w:hAnsi="宋体" w:eastAsia="宋体" w:cs="宋体"/>
                        <w:b w:val="0"/>
                        <w:bCs w:val="0"/>
                        <w:sz w:val="18"/>
                        <w:szCs w:val="18"/>
                      </w:rPr>
                      <w:fldChar w:fldCharType="begin"/>
                    </w:r>
                    <w:r>
                      <w:rPr>
                        <w:rFonts w:hint="eastAsia" w:ascii="宋体" w:hAnsi="宋体" w:eastAsia="宋体" w:cs="宋体"/>
                        <w:b w:val="0"/>
                        <w:bCs w:val="0"/>
                        <w:sz w:val="18"/>
                        <w:szCs w:val="18"/>
                      </w:rPr>
                      <w:instrText xml:space="preserve"> PAGE  \* MERGEFORMAT </w:instrText>
                    </w:r>
                    <w:r>
                      <w:rPr>
                        <w:rFonts w:hint="eastAsia" w:ascii="宋体" w:hAnsi="宋体" w:eastAsia="宋体" w:cs="宋体"/>
                        <w:b w:val="0"/>
                        <w:bCs w:val="0"/>
                        <w:sz w:val="18"/>
                        <w:szCs w:val="18"/>
                      </w:rPr>
                      <w:fldChar w:fldCharType="separate"/>
                    </w:r>
                    <w:r>
                      <w:rPr>
                        <w:rFonts w:hint="eastAsia" w:ascii="宋体" w:hAnsi="宋体" w:eastAsia="宋体" w:cs="宋体"/>
                        <w:b w:val="0"/>
                        <w:bCs w:val="0"/>
                        <w:sz w:val="18"/>
                        <w:szCs w:val="18"/>
                      </w:rPr>
                      <w:t>4</w:t>
                    </w:r>
                    <w:r>
                      <w:rPr>
                        <w:rFonts w:hint="eastAsia" w:ascii="宋体" w:hAnsi="宋体" w:eastAsia="宋体" w:cs="宋体"/>
                        <w:b w:val="0"/>
                        <w:bCs w:val="0"/>
                        <w:sz w:val="18"/>
                        <w:szCs w:val="18"/>
                      </w:rPr>
                      <w:fldChar w:fldCharType="end"/>
                    </w:r>
                    <w:r>
                      <w:rPr>
                        <w:rFonts w:hint="eastAsia" w:ascii="宋体" w:hAnsi="宋体" w:eastAsia="宋体" w:cs="宋体"/>
                        <w:b w:val="0"/>
                        <w:bCs w:val="0"/>
                        <w:sz w:val="18"/>
                        <w:szCs w:val="18"/>
                      </w:rPr>
                      <w:t xml:space="preserve"> 页 共 </w:t>
                    </w:r>
                    <w:r>
                      <w:rPr>
                        <w:rFonts w:hint="eastAsia" w:ascii="宋体" w:hAnsi="宋体" w:eastAsia="宋体" w:cs="宋体"/>
                        <w:b w:val="0"/>
                        <w:bCs w:val="0"/>
                        <w:sz w:val="18"/>
                        <w:szCs w:val="18"/>
                      </w:rPr>
                      <w:fldChar w:fldCharType="begin"/>
                    </w:r>
                    <w:r>
                      <w:rPr>
                        <w:rFonts w:hint="eastAsia" w:ascii="宋体" w:hAnsi="宋体" w:eastAsia="宋体" w:cs="宋体"/>
                        <w:b w:val="0"/>
                        <w:bCs w:val="0"/>
                        <w:sz w:val="18"/>
                        <w:szCs w:val="18"/>
                      </w:rPr>
                      <w:instrText xml:space="preserve"> NUMPAGES  \* MERGEFORMAT </w:instrText>
                    </w:r>
                    <w:r>
                      <w:rPr>
                        <w:rFonts w:hint="eastAsia" w:ascii="宋体" w:hAnsi="宋体" w:eastAsia="宋体" w:cs="宋体"/>
                        <w:b w:val="0"/>
                        <w:bCs w:val="0"/>
                        <w:sz w:val="18"/>
                        <w:szCs w:val="18"/>
                      </w:rPr>
                      <w:fldChar w:fldCharType="separate"/>
                    </w:r>
                    <w:r>
                      <w:rPr>
                        <w:rFonts w:hint="eastAsia" w:ascii="宋体" w:hAnsi="宋体" w:eastAsia="宋体" w:cs="宋体"/>
                        <w:b w:val="0"/>
                        <w:bCs w:val="0"/>
                        <w:sz w:val="18"/>
                        <w:szCs w:val="18"/>
                      </w:rPr>
                      <w:t>64</w:t>
                    </w:r>
                    <w:r>
                      <w:rPr>
                        <w:rFonts w:hint="eastAsia" w:ascii="宋体" w:hAnsi="宋体" w:eastAsia="宋体" w:cs="宋体"/>
                        <w:b w:val="0"/>
                        <w:bCs w:val="0"/>
                        <w:sz w:val="18"/>
                        <w:szCs w:val="18"/>
                      </w:rPr>
                      <w:fldChar w:fldCharType="end"/>
                    </w:r>
                    <w:r>
                      <w:rPr>
                        <w:rFonts w:hint="eastAsia" w:ascii="宋体" w:hAnsi="宋体" w:eastAsia="宋体" w:cs="宋体"/>
                        <w:b w:val="0"/>
                        <w:bCs w:val="0"/>
                        <w:sz w:val="18"/>
                        <w:szCs w:val="18"/>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00811171"/>
    </w:sdtPr>
    <w:sdtEndPr>
      <w:rPr>
        <w:rFonts w:asciiTheme="minorEastAsia" w:hAnsiTheme="minorEastAsia" w:eastAsiaTheme="minorEastAsia"/>
        <w:sz w:val="21"/>
        <w:szCs w:val="21"/>
      </w:rPr>
    </w:sdtEndPr>
    <w:sdtContent>
      <w:sdt>
        <w:sdtPr>
          <w:id w:val="-1669238322"/>
        </w:sdtPr>
        <w:sdtEndPr>
          <w:rPr>
            <w:rFonts w:asciiTheme="minorEastAsia" w:hAnsiTheme="minorEastAsia" w:eastAsiaTheme="minorEastAsia"/>
            <w:sz w:val="21"/>
            <w:szCs w:val="21"/>
          </w:rPr>
        </w:sdtEndPr>
        <w:sdtContent>
          <w:p>
            <w:pPr>
              <w:pStyle w:val="14"/>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PAGE</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t>50</w:t>
            </w:r>
            <w:r>
              <w:rPr>
                <w:rFonts w:asciiTheme="minorEastAsia" w:hAnsiTheme="minorEastAsia" w:eastAsiaTheme="minorEastAsia"/>
                <w:b/>
                <w:sz w:val="21"/>
                <w:szCs w:val="21"/>
              </w:rPr>
              <w:fldChar w:fldCharType="end"/>
            </w:r>
            <w:r>
              <w:rPr>
                <w:rFonts w:hint="eastAsia" w:asciiTheme="minorEastAsia" w:hAnsiTheme="minorEastAsia" w:eastAsiaTheme="minorEastAsia"/>
                <w:bCs/>
                <w:sz w:val="21"/>
                <w:szCs w:val="21"/>
              </w:rPr>
              <w:t xml:space="preserve"> 页</w:t>
            </w:r>
            <w:r>
              <w:rPr>
                <w:rFonts w:asciiTheme="minorEastAsia" w:hAnsiTheme="minorEastAsia" w:eastAsiaTheme="minorEastAsia"/>
                <w:bCs/>
                <w:sz w:val="21"/>
                <w:szCs w:val="21"/>
              </w:rPr>
              <w:t>/</w:t>
            </w:r>
            <w:r>
              <w:rPr>
                <w:rFonts w:hint="eastAsia" w:asciiTheme="minorEastAsia" w:hAnsiTheme="minorEastAsia" w:eastAsiaTheme="minorEastAsia"/>
                <w:bCs/>
                <w:sz w:val="21"/>
                <w:szCs w:val="21"/>
              </w:rPr>
              <w:t xml:space="preserve">共 </w: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 =</w:instrTex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NUMPAGES</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instrText xml:space="preserve">62</w:instrText>
            </w:r>
            <w:r>
              <w:rPr>
                <w:rFonts w:asciiTheme="minorEastAsia" w:hAnsiTheme="minorEastAsia" w:eastAsiaTheme="minorEastAsia"/>
                <w:b/>
                <w:sz w:val="21"/>
                <w:szCs w:val="21"/>
              </w:rPr>
              <w:fldChar w:fldCharType="end"/>
            </w:r>
            <w:r>
              <w:rPr>
                <w:rFonts w:asciiTheme="minorEastAsia" w:hAnsiTheme="minorEastAsia" w:eastAsiaTheme="minorEastAsia"/>
                <w:b/>
                <w:sz w:val="21"/>
                <w:szCs w:val="21"/>
              </w:rPr>
              <w:instrText xml:space="preserve">-2 </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t>60</w:t>
            </w:r>
            <w:r>
              <w:rPr>
                <w:rFonts w:asciiTheme="minorEastAsia" w:hAnsiTheme="minorEastAsia" w:eastAsiaTheme="minorEastAsia"/>
                <w:b/>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货物类</w:t>
    </w:r>
    <w:r>
      <w:rPr>
        <w:rFonts w:hint="eastAsia" w:ascii="宋体" w:hAnsi="宋体" w:eastAsia="宋体"/>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货物类</w:t>
    </w:r>
    <w:r>
      <w:rPr>
        <w:rFonts w:hint="eastAsia" w:ascii="宋体" w:hAnsi="宋体" w:eastAsia="宋体"/>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rPr>
        <w:rFonts w:hint="eastAsia"/>
      </w:rPr>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货物类</w:t>
    </w:r>
    <w:r>
      <w:rPr>
        <w:rFonts w:hint="eastAsia" w:ascii="宋体" w:hAnsi="宋体" w:eastAsia="宋体"/>
        <w:lang w:eastAsia="zh-CN"/>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货物类</w:t>
    </w:r>
    <w:r>
      <w:rPr>
        <w:rFonts w:hint="eastAsia" w:ascii="宋体" w:hAnsi="宋体" w:eastAsia="宋体"/>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2247"/>
    <w:rsid w:val="000037F9"/>
    <w:rsid w:val="000049DA"/>
    <w:rsid w:val="000056B7"/>
    <w:rsid w:val="00005C24"/>
    <w:rsid w:val="0000779C"/>
    <w:rsid w:val="000131F7"/>
    <w:rsid w:val="00013DD9"/>
    <w:rsid w:val="00014039"/>
    <w:rsid w:val="00014DDD"/>
    <w:rsid w:val="00016B6C"/>
    <w:rsid w:val="000201D0"/>
    <w:rsid w:val="00020B57"/>
    <w:rsid w:val="00020DA0"/>
    <w:rsid w:val="00021D80"/>
    <w:rsid w:val="000227B2"/>
    <w:rsid w:val="000356BE"/>
    <w:rsid w:val="00040C25"/>
    <w:rsid w:val="00042139"/>
    <w:rsid w:val="000421D1"/>
    <w:rsid w:val="00042B14"/>
    <w:rsid w:val="000444B3"/>
    <w:rsid w:val="00044F49"/>
    <w:rsid w:val="000450C3"/>
    <w:rsid w:val="00046FC4"/>
    <w:rsid w:val="00050A3F"/>
    <w:rsid w:val="00050F5E"/>
    <w:rsid w:val="00062C99"/>
    <w:rsid w:val="000641C6"/>
    <w:rsid w:val="000648D2"/>
    <w:rsid w:val="00066B5B"/>
    <w:rsid w:val="00070075"/>
    <w:rsid w:val="00070E0E"/>
    <w:rsid w:val="0007146E"/>
    <w:rsid w:val="00072F85"/>
    <w:rsid w:val="00076456"/>
    <w:rsid w:val="00076DB7"/>
    <w:rsid w:val="00080FEB"/>
    <w:rsid w:val="000870E6"/>
    <w:rsid w:val="00093150"/>
    <w:rsid w:val="00093E05"/>
    <w:rsid w:val="00094D41"/>
    <w:rsid w:val="0009531E"/>
    <w:rsid w:val="00096426"/>
    <w:rsid w:val="000970FA"/>
    <w:rsid w:val="00097CB9"/>
    <w:rsid w:val="000A10A9"/>
    <w:rsid w:val="000A32F3"/>
    <w:rsid w:val="000A6693"/>
    <w:rsid w:val="000A7970"/>
    <w:rsid w:val="000A7D94"/>
    <w:rsid w:val="000B118D"/>
    <w:rsid w:val="000B120A"/>
    <w:rsid w:val="000B1511"/>
    <w:rsid w:val="000C0507"/>
    <w:rsid w:val="000C0B4B"/>
    <w:rsid w:val="000C14C3"/>
    <w:rsid w:val="000C1DB1"/>
    <w:rsid w:val="000C2092"/>
    <w:rsid w:val="000C407C"/>
    <w:rsid w:val="000C512D"/>
    <w:rsid w:val="000C6D28"/>
    <w:rsid w:val="000D2411"/>
    <w:rsid w:val="000D3A8D"/>
    <w:rsid w:val="000D3F37"/>
    <w:rsid w:val="000E2BA5"/>
    <w:rsid w:val="000E3C74"/>
    <w:rsid w:val="000E3F9B"/>
    <w:rsid w:val="000E478E"/>
    <w:rsid w:val="000E4B7C"/>
    <w:rsid w:val="000E6689"/>
    <w:rsid w:val="000F172B"/>
    <w:rsid w:val="000F2198"/>
    <w:rsid w:val="000F29A8"/>
    <w:rsid w:val="000F39B6"/>
    <w:rsid w:val="000F3D25"/>
    <w:rsid w:val="000F5488"/>
    <w:rsid w:val="000F6B7B"/>
    <w:rsid w:val="00100B0F"/>
    <w:rsid w:val="0010187C"/>
    <w:rsid w:val="00101DDB"/>
    <w:rsid w:val="0010219C"/>
    <w:rsid w:val="001026B4"/>
    <w:rsid w:val="001037E3"/>
    <w:rsid w:val="00104C6C"/>
    <w:rsid w:val="00106C08"/>
    <w:rsid w:val="0011036B"/>
    <w:rsid w:val="00111B6F"/>
    <w:rsid w:val="0011660B"/>
    <w:rsid w:val="00120E4A"/>
    <w:rsid w:val="0012143A"/>
    <w:rsid w:val="001258BA"/>
    <w:rsid w:val="001273BC"/>
    <w:rsid w:val="001301E2"/>
    <w:rsid w:val="00132DDC"/>
    <w:rsid w:val="00134C6F"/>
    <w:rsid w:val="0013744A"/>
    <w:rsid w:val="00140687"/>
    <w:rsid w:val="00146421"/>
    <w:rsid w:val="00151E19"/>
    <w:rsid w:val="00153B20"/>
    <w:rsid w:val="00155F64"/>
    <w:rsid w:val="00156F8B"/>
    <w:rsid w:val="00157856"/>
    <w:rsid w:val="00160729"/>
    <w:rsid w:val="00161B13"/>
    <w:rsid w:val="001651ED"/>
    <w:rsid w:val="00166794"/>
    <w:rsid w:val="00166ED8"/>
    <w:rsid w:val="001714C9"/>
    <w:rsid w:val="00172ACA"/>
    <w:rsid w:val="0017704F"/>
    <w:rsid w:val="0018119B"/>
    <w:rsid w:val="00183995"/>
    <w:rsid w:val="001844AB"/>
    <w:rsid w:val="001853C7"/>
    <w:rsid w:val="001866DC"/>
    <w:rsid w:val="001907B0"/>
    <w:rsid w:val="00190839"/>
    <w:rsid w:val="00192879"/>
    <w:rsid w:val="001938E5"/>
    <w:rsid w:val="001944B8"/>
    <w:rsid w:val="0019616A"/>
    <w:rsid w:val="00196DA3"/>
    <w:rsid w:val="001A526C"/>
    <w:rsid w:val="001A5B1F"/>
    <w:rsid w:val="001A68E5"/>
    <w:rsid w:val="001B2A54"/>
    <w:rsid w:val="001B2BA4"/>
    <w:rsid w:val="001B5014"/>
    <w:rsid w:val="001B544A"/>
    <w:rsid w:val="001B62A6"/>
    <w:rsid w:val="001B7327"/>
    <w:rsid w:val="001C03D4"/>
    <w:rsid w:val="001C54BE"/>
    <w:rsid w:val="001C6047"/>
    <w:rsid w:val="001D22EA"/>
    <w:rsid w:val="001D2634"/>
    <w:rsid w:val="001D3B4C"/>
    <w:rsid w:val="001D53B4"/>
    <w:rsid w:val="001E15FE"/>
    <w:rsid w:val="001E1835"/>
    <w:rsid w:val="001E42BC"/>
    <w:rsid w:val="001F19A3"/>
    <w:rsid w:val="001F28D2"/>
    <w:rsid w:val="001F2F45"/>
    <w:rsid w:val="001F3023"/>
    <w:rsid w:val="001F35F6"/>
    <w:rsid w:val="001F4308"/>
    <w:rsid w:val="001F74CA"/>
    <w:rsid w:val="001F7590"/>
    <w:rsid w:val="002003B6"/>
    <w:rsid w:val="0020244A"/>
    <w:rsid w:val="00204609"/>
    <w:rsid w:val="002049B4"/>
    <w:rsid w:val="0020520B"/>
    <w:rsid w:val="0020529E"/>
    <w:rsid w:val="002056D4"/>
    <w:rsid w:val="002076AD"/>
    <w:rsid w:val="00213C55"/>
    <w:rsid w:val="002156EA"/>
    <w:rsid w:val="00221256"/>
    <w:rsid w:val="00223CF4"/>
    <w:rsid w:val="00224C4A"/>
    <w:rsid w:val="00231187"/>
    <w:rsid w:val="0023407E"/>
    <w:rsid w:val="00240B40"/>
    <w:rsid w:val="00241874"/>
    <w:rsid w:val="002427C1"/>
    <w:rsid w:val="002439FE"/>
    <w:rsid w:val="00244182"/>
    <w:rsid w:val="00246F20"/>
    <w:rsid w:val="00250EE3"/>
    <w:rsid w:val="00253517"/>
    <w:rsid w:val="002544A1"/>
    <w:rsid w:val="00257ECE"/>
    <w:rsid w:val="00260B94"/>
    <w:rsid w:val="00261798"/>
    <w:rsid w:val="002626F5"/>
    <w:rsid w:val="00262AFC"/>
    <w:rsid w:val="00264EAD"/>
    <w:rsid w:val="00264F2E"/>
    <w:rsid w:val="00271245"/>
    <w:rsid w:val="00271B93"/>
    <w:rsid w:val="002720A9"/>
    <w:rsid w:val="00274A9E"/>
    <w:rsid w:val="00275C66"/>
    <w:rsid w:val="00276BA1"/>
    <w:rsid w:val="00280984"/>
    <w:rsid w:val="00281A59"/>
    <w:rsid w:val="002835E3"/>
    <w:rsid w:val="00284542"/>
    <w:rsid w:val="0028537B"/>
    <w:rsid w:val="002929E1"/>
    <w:rsid w:val="00292D2A"/>
    <w:rsid w:val="002A14D1"/>
    <w:rsid w:val="002A1A1D"/>
    <w:rsid w:val="002A28AD"/>
    <w:rsid w:val="002A3879"/>
    <w:rsid w:val="002B04FD"/>
    <w:rsid w:val="002B2BC9"/>
    <w:rsid w:val="002B5318"/>
    <w:rsid w:val="002B6D27"/>
    <w:rsid w:val="002B7A09"/>
    <w:rsid w:val="002C060C"/>
    <w:rsid w:val="002C3BA6"/>
    <w:rsid w:val="002C6F1B"/>
    <w:rsid w:val="002C72CD"/>
    <w:rsid w:val="002C76BA"/>
    <w:rsid w:val="002D041D"/>
    <w:rsid w:val="002D05DD"/>
    <w:rsid w:val="002D24AD"/>
    <w:rsid w:val="002D2965"/>
    <w:rsid w:val="002D3301"/>
    <w:rsid w:val="002D3D02"/>
    <w:rsid w:val="002D4CB5"/>
    <w:rsid w:val="002D684B"/>
    <w:rsid w:val="002E16E9"/>
    <w:rsid w:val="002E1C8F"/>
    <w:rsid w:val="002E2D3A"/>
    <w:rsid w:val="002E3B26"/>
    <w:rsid w:val="002E3CF3"/>
    <w:rsid w:val="002E411D"/>
    <w:rsid w:val="002E4AB8"/>
    <w:rsid w:val="002E7FC4"/>
    <w:rsid w:val="002F1132"/>
    <w:rsid w:val="002F2D4E"/>
    <w:rsid w:val="0030413C"/>
    <w:rsid w:val="003043FC"/>
    <w:rsid w:val="00310070"/>
    <w:rsid w:val="0031081B"/>
    <w:rsid w:val="00310F86"/>
    <w:rsid w:val="003110EC"/>
    <w:rsid w:val="003166D8"/>
    <w:rsid w:val="003206A6"/>
    <w:rsid w:val="003213B4"/>
    <w:rsid w:val="0032560D"/>
    <w:rsid w:val="0032598E"/>
    <w:rsid w:val="00327C92"/>
    <w:rsid w:val="00330431"/>
    <w:rsid w:val="00331DEB"/>
    <w:rsid w:val="00331F10"/>
    <w:rsid w:val="00333292"/>
    <w:rsid w:val="0033392E"/>
    <w:rsid w:val="003344E7"/>
    <w:rsid w:val="0033460E"/>
    <w:rsid w:val="0033580B"/>
    <w:rsid w:val="003365E7"/>
    <w:rsid w:val="00336983"/>
    <w:rsid w:val="003378D5"/>
    <w:rsid w:val="00340CA3"/>
    <w:rsid w:val="00342B62"/>
    <w:rsid w:val="00344BF7"/>
    <w:rsid w:val="003473D7"/>
    <w:rsid w:val="003510A4"/>
    <w:rsid w:val="00351AC8"/>
    <w:rsid w:val="00353075"/>
    <w:rsid w:val="003550A7"/>
    <w:rsid w:val="00360384"/>
    <w:rsid w:val="00360697"/>
    <w:rsid w:val="00362110"/>
    <w:rsid w:val="0036339C"/>
    <w:rsid w:val="00363E02"/>
    <w:rsid w:val="00370F58"/>
    <w:rsid w:val="00373A96"/>
    <w:rsid w:val="00374BA2"/>
    <w:rsid w:val="00381681"/>
    <w:rsid w:val="003826C2"/>
    <w:rsid w:val="00382B87"/>
    <w:rsid w:val="00383728"/>
    <w:rsid w:val="00385435"/>
    <w:rsid w:val="00385772"/>
    <w:rsid w:val="003903BB"/>
    <w:rsid w:val="003921ED"/>
    <w:rsid w:val="00392627"/>
    <w:rsid w:val="00393E2B"/>
    <w:rsid w:val="00394128"/>
    <w:rsid w:val="00394ADC"/>
    <w:rsid w:val="00395235"/>
    <w:rsid w:val="0039561A"/>
    <w:rsid w:val="00397C7D"/>
    <w:rsid w:val="003A004F"/>
    <w:rsid w:val="003A092F"/>
    <w:rsid w:val="003A33CD"/>
    <w:rsid w:val="003A4DF1"/>
    <w:rsid w:val="003B4130"/>
    <w:rsid w:val="003B715B"/>
    <w:rsid w:val="003B7FCE"/>
    <w:rsid w:val="003C002C"/>
    <w:rsid w:val="003C0B36"/>
    <w:rsid w:val="003C2C62"/>
    <w:rsid w:val="003C717B"/>
    <w:rsid w:val="003D1D14"/>
    <w:rsid w:val="003D551F"/>
    <w:rsid w:val="003D6C7C"/>
    <w:rsid w:val="003D6EFB"/>
    <w:rsid w:val="003D7E52"/>
    <w:rsid w:val="003E0BE0"/>
    <w:rsid w:val="003E0F14"/>
    <w:rsid w:val="003E25C6"/>
    <w:rsid w:val="003E4183"/>
    <w:rsid w:val="003E4C91"/>
    <w:rsid w:val="003E6A52"/>
    <w:rsid w:val="003F7528"/>
    <w:rsid w:val="00400910"/>
    <w:rsid w:val="004011AA"/>
    <w:rsid w:val="0040202C"/>
    <w:rsid w:val="00405503"/>
    <w:rsid w:val="00406508"/>
    <w:rsid w:val="00407843"/>
    <w:rsid w:val="0041456E"/>
    <w:rsid w:val="004145A1"/>
    <w:rsid w:val="00414903"/>
    <w:rsid w:val="00414F7E"/>
    <w:rsid w:val="0041564E"/>
    <w:rsid w:val="004164F8"/>
    <w:rsid w:val="00417FE4"/>
    <w:rsid w:val="004201EC"/>
    <w:rsid w:val="00420AD7"/>
    <w:rsid w:val="00426F05"/>
    <w:rsid w:val="004328E1"/>
    <w:rsid w:val="0044030A"/>
    <w:rsid w:val="00441EF6"/>
    <w:rsid w:val="004427B7"/>
    <w:rsid w:val="0044349F"/>
    <w:rsid w:val="00445E5D"/>
    <w:rsid w:val="00445F1F"/>
    <w:rsid w:val="00451B9C"/>
    <w:rsid w:val="00451F60"/>
    <w:rsid w:val="00452BB2"/>
    <w:rsid w:val="004541F2"/>
    <w:rsid w:val="00456054"/>
    <w:rsid w:val="0045656D"/>
    <w:rsid w:val="00462D98"/>
    <w:rsid w:val="00463E7D"/>
    <w:rsid w:val="004660C8"/>
    <w:rsid w:val="004723BE"/>
    <w:rsid w:val="00472A44"/>
    <w:rsid w:val="00473A89"/>
    <w:rsid w:val="00475899"/>
    <w:rsid w:val="00482C78"/>
    <w:rsid w:val="00483BC8"/>
    <w:rsid w:val="0048634A"/>
    <w:rsid w:val="004874AE"/>
    <w:rsid w:val="00491830"/>
    <w:rsid w:val="00494D24"/>
    <w:rsid w:val="004951D1"/>
    <w:rsid w:val="004960BB"/>
    <w:rsid w:val="00497173"/>
    <w:rsid w:val="004A27D0"/>
    <w:rsid w:val="004A2E6C"/>
    <w:rsid w:val="004A4A18"/>
    <w:rsid w:val="004A4D67"/>
    <w:rsid w:val="004A5B89"/>
    <w:rsid w:val="004B24DD"/>
    <w:rsid w:val="004C13CB"/>
    <w:rsid w:val="004C6766"/>
    <w:rsid w:val="004D19B1"/>
    <w:rsid w:val="004D1B4F"/>
    <w:rsid w:val="004D1E11"/>
    <w:rsid w:val="004D3D4B"/>
    <w:rsid w:val="004D5498"/>
    <w:rsid w:val="004D66A5"/>
    <w:rsid w:val="004D6B00"/>
    <w:rsid w:val="004D6B8C"/>
    <w:rsid w:val="004E0D39"/>
    <w:rsid w:val="004E1D50"/>
    <w:rsid w:val="004E357B"/>
    <w:rsid w:val="004F1A35"/>
    <w:rsid w:val="004F27A0"/>
    <w:rsid w:val="004F2E5D"/>
    <w:rsid w:val="004F3C35"/>
    <w:rsid w:val="00501382"/>
    <w:rsid w:val="0050350D"/>
    <w:rsid w:val="00510798"/>
    <w:rsid w:val="005125F1"/>
    <w:rsid w:val="00515814"/>
    <w:rsid w:val="00524A11"/>
    <w:rsid w:val="00527768"/>
    <w:rsid w:val="00530EA4"/>
    <w:rsid w:val="005327FB"/>
    <w:rsid w:val="00533FCA"/>
    <w:rsid w:val="00536422"/>
    <w:rsid w:val="00537583"/>
    <w:rsid w:val="005411A7"/>
    <w:rsid w:val="005470D4"/>
    <w:rsid w:val="0055066A"/>
    <w:rsid w:val="0055291E"/>
    <w:rsid w:val="00555E64"/>
    <w:rsid w:val="005565D3"/>
    <w:rsid w:val="005616B5"/>
    <w:rsid w:val="005641E3"/>
    <w:rsid w:val="005679A4"/>
    <w:rsid w:val="005716A1"/>
    <w:rsid w:val="00573723"/>
    <w:rsid w:val="00577E74"/>
    <w:rsid w:val="00584744"/>
    <w:rsid w:val="00584DA0"/>
    <w:rsid w:val="00591DC8"/>
    <w:rsid w:val="0059223D"/>
    <w:rsid w:val="0059727C"/>
    <w:rsid w:val="00597B15"/>
    <w:rsid w:val="00597B96"/>
    <w:rsid w:val="005A044C"/>
    <w:rsid w:val="005A11F7"/>
    <w:rsid w:val="005A149F"/>
    <w:rsid w:val="005A56A6"/>
    <w:rsid w:val="005A56B3"/>
    <w:rsid w:val="005B0963"/>
    <w:rsid w:val="005B34C9"/>
    <w:rsid w:val="005B7CC6"/>
    <w:rsid w:val="005C34E8"/>
    <w:rsid w:val="005C3F52"/>
    <w:rsid w:val="005C4164"/>
    <w:rsid w:val="005C70E5"/>
    <w:rsid w:val="005D0200"/>
    <w:rsid w:val="005D3FA5"/>
    <w:rsid w:val="005D44EF"/>
    <w:rsid w:val="005D5112"/>
    <w:rsid w:val="005D5D67"/>
    <w:rsid w:val="005E4A2E"/>
    <w:rsid w:val="005E773F"/>
    <w:rsid w:val="005E781C"/>
    <w:rsid w:val="005F34CC"/>
    <w:rsid w:val="005F3914"/>
    <w:rsid w:val="005F3B5A"/>
    <w:rsid w:val="005F6AB4"/>
    <w:rsid w:val="005F7A80"/>
    <w:rsid w:val="00604792"/>
    <w:rsid w:val="0060721F"/>
    <w:rsid w:val="00607471"/>
    <w:rsid w:val="00610A66"/>
    <w:rsid w:val="00613177"/>
    <w:rsid w:val="00613F7C"/>
    <w:rsid w:val="00614BF2"/>
    <w:rsid w:val="0061557C"/>
    <w:rsid w:val="00620D1B"/>
    <w:rsid w:val="00623DE2"/>
    <w:rsid w:val="00627601"/>
    <w:rsid w:val="006300D0"/>
    <w:rsid w:val="00632012"/>
    <w:rsid w:val="006331E3"/>
    <w:rsid w:val="00634694"/>
    <w:rsid w:val="00635424"/>
    <w:rsid w:val="00636517"/>
    <w:rsid w:val="00637690"/>
    <w:rsid w:val="00640E1E"/>
    <w:rsid w:val="00641721"/>
    <w:rsid w:val="0064389A"/>
    <w:rsid w:val="0064468C"/>
    <w:rsid w:val="00644F02"/>
    <w:rsid w:val="00645168"/>
    <w:rsid w:val="00645442"/>
    <w:rsid w:val="00645469"/>
    <w:rsid w:val="006525CD"/>
    <w:rsid w:val="00653F7F"/>
    <w:rsid w:val="00660A71"/>
    <w:rsid w:val="00662EE8"/>
    <w:rsid w:val="00663813"/>
    <w:rsid w:val="00664AFD"/>
    <w:rsid w:val="00665031"/>
    <w:rsid w:val="006650B8"/>
    <w:rsid w:val="0066694D"/>
    <w:rsid w:val="00667567"/>
    <w:rsid w:val="0067391A"/>
    <w:rsid w:val="00674173"/>
    <w:rsid w:val="00676B59"/>
    <w:rsid w:val="00677D87"/>
    <w:rsid w:val="0068373C"/>
    <w:rsid w:val="00684CF7"/>
    <w:rsid w:val="00690DB1"/>
    <w:rsid w:val="00691D45"/>
    <w:rsid w:val="00693404"/>
    <w:rsid w:val="006953D9"/>
    <w:rsid w:val="006A1269"/>
    <w:rsid w:val="006A5803"/>
    <w:rsid w:val="006A69C3"/>
    <w:rsid w:val="006A702A"/>
    <w:rsid w:val="006A7C15"/>
    <w:rsid w:val="006B1242"/>
    <w:rsid w:val="006B1DBC"/>
    <w:rsid w:val="006B3E24"/>
    <w:rsid w:val="006B7C1C"/>
    <w:rsid w:val="006B7D9A"/>
    <w:rsid w:val="006C06D9"/>
    <w:rsid w:val="006C171E"/>
    <w:rsid w:val="006C3E22"/>
    <w:rsid w:val="006C5716"/>
    <w:rsid w:val="006C64B2"/>
    <w:rsid w:val="006C74A9"/>
    <w:rsid w:val="006D07DE"/>
    <w:rsid w:val="006D361A"/>
    <w:rsid w:val="006D424C"/>
    <w:rsid w:val="006D7D6A"/>
    <w:rsid w:val="006E06D9"/>
    <w:rsid w:val="006E1D40"/>
    <w:rsid w:val="006E2E1F"/>
    <w:rsid w:val="006E5059"/>
    <w:rsid w:val="006F0856"/>
    <w:rsid w:val="006F4B48"/>
    <w:rsid w:val="006F5F03"/>
    <w:rsid w:val="006F5FFF"/>
    <w:rsid w:val="006F7978"/>
    <w:rsid w:val="00700C16"/>
    <w:rsid w:val="00700F1D"/>
    <w:rsid w:val="00702237"/>
    <w:rsid w:val="00710804"/>
    <w:rsid w:val="00710877"/>
    <w:rsid w:val="00711FC6"/>
    <w:rsid w:val="007130B1"/>
    <w:rsid w:val="00715071"/>
    <w:rsid w:val="00720B60"/>
    <w:rsid w:val="00720D0D"/>
    <w:rsid w:val="007231E9"/>
    <w:rsid w:val="00724F0E"/>
    <w:rsid w:val="00725DA2"/>
    <w:rsid w:val="00727C59"/>
    <w:rsid w:val="00732C6B"/>
    <w:rsid w:val="00733730"/>
    <w:rsid w:val="00734D34"/>
    <w:rsid w:val="00734E5D"/>
    <w:rsid w:val="00736013"/>
    <w:rsid w:val="00737BF8"/>
    <w:rsid w:val="0074339B"/>
    <w:rsid w:val="00751B38"/>
    <w:rsid w:val="0075264F"/>
    <w:rsid w:val="00756245"/>
    <w:rsid w:val="00756B40"/>
    <w:rsid w:val="00761662"/>
    <w:rsid w:val="00763E37"/>
    <w:rsid w:val="00764043"/>
    <w:rsid w:val="00765C94"/>
    <w:rsid w:val="007667A4"/>
    <w:rsid w:val="007754AA"/>
    <w:rsid w:val="007757CF"/>
    <w:rsid w:val="0078128F"/>
    <w:rsid w:val="007819D9"/>
    <w:rsid w:val="0078683C"/>
    <w:rsid w:val="007868E8"/>
    <w:rsid w:val="00790EDB"/>
    <w:rsid w:val="00791538"/>
    <w:rsid w:val="0079326E"/>
    <w:rsid w:val="00796EDE"/>
    <w:rsid w:val="007A0BFB"/>
    <w:rsid w:val="007A4FC7"/>
    <w:rsid w:val="007A5A58"/>
    <w:rsid w:val="007A79CA"/>
    <w:rsid w:val="007B1071"/>
    <w:rsid w:val="007B1C56"/>
    <w:rsid w:val="007B5842"/>
    <w:rsid w:val="007B6E33"/>
    <w:rsid w:val="007B7D40"/>
    <w:rsid w:val="007C1DD7"/>
    <w:rsid w:val="007C24E3"/>
    <w:rsid w:val="007C3CD5"/>
    <w:rsid w:val="007C5E88"/>
    <w:rsid w:val="007C5F1F"/>
    <w:rsid w:val="007C61EF"/>
    <w:rsid w:val="007D1A73"/>
    <w:rsid w:val="007D1C0D"/>
    <w:rsid w:val="007D2D23"/>
    <w:rsid w:val="007D4A71"/>
    <w:rsid w:val="007D67A3"/>
    <w:rsid w:val="007D6C28"/>
    <w:rsid w:val="007E0BAF"/>
    <w:rsid w:val="007E27D6"/>
    <w:rsid w:val="007E3921"/>
    <w:rsid w:val="007E525F"/>
    <w:rsid w:val="00801028"/>
    <w:rsid w:val="00802F1D"/>
    <w:rsid w:val="00803793"/>
    <w:rsid w:val="00804000"/>
    <w:rsid w:val="0080412D"/>
    <w:rsid w:val="00817A01"/>
    <w:rsid w:val="00820E1F"/>
    <w:rsid w:val="00821639"/>
    <w:rsid w:val="00824BE1"/>
    <w:rsid w:val="00825E35"/>
    <w:rsid w:val="0082734F"/>
    <w:rsid w:val="00827435"/>
    <w:rsid w:val="00830792"/>
    <w:rsid w:val="00830A4E"/>
    <w:rsid w:val="008319C8"/>
    <w:rsid w:val="008322FF"/>
    <w:rsid w:val="00833305"/>
    <w:rsid w:val="008334F8"/>
    <w:rsid w:val="0083586A"/>
    <w:rsid w:val="00835FFD"/>
    <w:rsid w:val="00845D94"/>
    <w:rsid w:val="008504BF"/>
    <w:rsid w:val="008524CE"/>
    <w:rsid w:val="00854E85"/>
    <w:rsid w:val="008575E9"/>
    <w:rsid w:val="0086440C"/>
    <w:rsid w:val="008678A4"/>
    <w:rsid w:val="00876659"/>
    <w:rsid w:val="0087734C"/>
    <w:rsid w:val="00882141"/>
    <w:rsid w:val="008876EC"/>
    <w:rsid w:val="008922A8"/>
    <w:rsid w:val="00894916"/>
    <w:rsid w:val="00895BD5"/>
    <w:rsid w:val="008A16C4"/>
    <w:rsid w:val="008A20A9"/>
    <w:rsid w:val="008A3609"/>
    <w:rsid w:val="008A6FED"/>
    <w:rsid w:val="008B1F5C"/>
    <w:rsid w:val="008B1F73"/>
    <w:rsid w:val="008B39C5"/>
    <w:rsid w:val="008B51AA"/>
    <w:rsid w:val="008B7382"/>
    <w:rsid w:val="008C5A7A"/>
    <w:rsid w:val="008C67F2"/>
    <w:rsid w:val="008C73D8"/>
    <w:rsid w:val="008D0533"/>
    <w:rsid w:val="008D064A"/>
    <w:rsid w:val="008D14F8"/>
    <w:rsid w:val="008D1634"/>
    <w:rsid w:val="008D1E91"/>
    <w:rsid w:val="008D2B0F"/>
    <w:rsid w:val="008D2CDB"/>
    <w:rsid w:val="008D31EF"/>
    <w:rsid w:val="008D4699"/>
    <w:rsid w:val="008E0F44"/>
    <w:rsid w:val="008E230D"/>
    <w:rsid w:val="008E449E"/>
    <w:rsid w:val="008E4BDD"/>
    <w:rsid w:val="008E52FB"/>
    <w:rsid w:val="008E721B"/>
    <w:rsid w:val="008E770C"/>
    <w:rsid w:val="008F187F"/>
    <w:rsid w:val="008F190B"/>
    <w:rsid w:val="008F39F1"/>
    <w:rsid w:val="008F402F"/>
    <w:rsid w:val="008F76E8"/>
    <w:rsid w:val="00906D34"/>
    <w:rsid w:val="009078A1"/>
    <w:rsid w:val="00910021"/>
    <w:rsid w:val="00911E9C"/>
    <w:rsid w:val="0091318E"/>
    <w:rsid w:val="00915928"/>
    <w:rsid w:val="00917405"/>
    <w:rsid w:val="00920F7C"/>
    <w:rsid w:val="00922BEE"/>
    <w:rsid w:val="00924743"/>
    <w:rsid w:val="00930CAC"/>
    <w:rsid w:val="00932CCC"/>
    <w:rsid w:val="00933174"/>
    <w:rsid w:val="009331C0"/>
    <w:rsid w:val="00934CAE"/>
    <w:rsid w:val="00940C9A"/>
    <w:rsid w:val="0094257D"/>
    <w:rsid w:val="00945B58"/>
    <w:rsid w:val="009515C6"/>
    <w:rsid w:val="00953383"/>
    <w:rsid w:val="0095467C"/>
    <w:rsid w:val="00954A61"/>
    <w:rsid w:val="00955C6F"/>
    <w:rsid w:val="00962F79"/>
    <w:rsid w:val="00966C7B"/>
    <w:rsid w:val="009701DC"/>
    <w:rsid w:val="009715D8"/>
    <w:rsid w:val="00976129"/>
    <w:rsid w:val="0097738C"/>
    <w:rsid w:val="009775B8"/>
    <w:rsid w:val="009811A8"/>
    <w:rsid w:val="00982001"/>
    <w:rsid w:val="00985686"/>
    <w:rsid w:val="00985A4E"/>
    <w:rsid w:val="0098659E"/>
    <w:rsid w:val="00992894"/>
    <w:rsid w:val="00995BF9"/>
    <w:rsid w:val="009A0CAF"/>
    <w:rsid w:val="009A0E49"/>
    <w:rsid w:val="009A1328"/>
    <w:rsid w:val="009A2207"/>
    <w:rsid w:val="009A30F2"/>
    <w:rsid w:val="009A5974"/>
    <w:rsid w:val="009A6FC2"/>
    <w:rsid w:val="009B0C21"/>
    <w:rsid w:val="009B0EDA"/>
    <w:rsid w:val="009B36A8"/>
    <w:rsid w:val="009B41AC"/>
    <w:rsid w:val="009B6C42"/>
    <w:rsid w:val="009D04E8"/>
    <w:rsid w:val="009D2998"/>
    <w:rsid w:val="009D31F7"/>
    <w:rsid w:val="009D32C2"/>
    <w:rsid w:val="009D50DB"/>
    <w:rsid w:val="009D67C5"/>
    <w:rsid w:val="009E0B5F"/>
    <w:rsid w:val="009E2932"/>
    <w:rsid w:val="009E3A0A"/>
    <w:rsid w:val="009E52E6"/>
    <w:rsid w:val="009E69E5"/>
    <w:rsid w:val="009F3E91"/>
    <w:rsid w:val="009F512C"/>
    <w:rsid w:val="00A008DA"/>
    <w:rsid w:val="00A0571E"/>
    <w:rsid w:val="00A07B0C"/>
    <w:rsid w:val="00A11EA9"/>
    <w:rsid w:val="00A1499B"/>
    <w:rsid w:val="00A1779A"/>
    <w:rsid w:val="00A17CCF"/>
    <w:rsid w:val="00A20CD3"/>
    <w:rsid w:val="00A23490"/>
    <w:rsid w:val="00A2524E"/>
    <w:rsid w:val="00A30A1B"/>
    <w:rsid w:val="00A314C2"/>
    <w:rsid w:val="00A376BE"/>
    <w:rsid w:val="00A44323"/>
    <w:rsid w:val="00A44B4E"/>
    <w:rsid w:val="00A44E82"/>
    <w:rsid w:val="00A450E8"/>
    <w:rsid w:val="00A519A0"/>
    <w:rsid w:val="00A519E3"/>
    <w:rsid w:val="00A52191"/>
    <w:rsid w:val="00A5489C"/>
    <w:rsid w:val="00A55310"/>
    <w:rsid w:val="00A5552E"/>
    <w:rsid w:val="00A6109F"/>
    <w:rsid w:val="00A62A2E"/>
    <w:rsid w:val="00A63E86"/>
    <w:rsid w:val="00A71C73"/>
    <w:rsid w:val="00A7308E"/>
    <w:rsid w:val="00A738D0"/>
    <w:rsid w:val="00A757C3"/>
    <w:rsid w:val="00A75E5B"/>
    <w:rsid w:val="00A7684A"/>
    <w:rsid w:val="00A82316"/>
    <w:rsid w:val="00A82369"/>
    <w:rsid w:val="00A8325F"/>
    <w:rsid w:val="00A83527"/>
    <w:rsid w:val="00A83B69"/>
    <w:rsid w:val="00A86533"/>
    <w:rsid w:val="00A90C1C"/>
    <w:rsid w:val="00A91CA2"/>
    <w:rsid w:val="00A92FB8"/>
    <w:rsid w:val="00A932EE"/>
    <w:rsid w:val="00A93A70"/>
    <w:rsid w:val="00A948F1"/>
    <w:rsid w:val="00A94CFC"/>
    <w:rsid w:val="00AA18F9"/>
    <w:rsid w:val="00AA1D7D"/>
    <w:rsid w:val="00AA2790"/>
    <w:rsid w:val="00AA3806"/>
    <w:rsid w:val="00AA7414"/>
    <w:rsid w:val="00AB139D"/>
    <w:rsid w:val="00AB2D05"/>
    <w:rsid w:val="00AB30E6"/>
    <w:rsid w:val="00AB3EFB"/>
    <w:rsid w:val="00AB4025"/>
    <w:rsid w:val="00AB4086"/>
    <w:rsid w:val="00AB67F5"/>
    <w:rsid w:val="00AC0B05"/>
    <w:rsid w:val="00AC113A"/>
    <w:rsid w:val="00AC7F9D"/>
    <w:rsid w:val="00AD079A"/>
    <w:rsid w:val="00AD1890"/>
    <w:rsid w:val="00AD19AC"/>
    <w:rsid w:val="00AD30C3"/>
    <w:rsid w:val="00AD4A6B"/>
    <w:rsid w:val="00AD702A"/>
    <w:rsid w:val="00AE2149"/>
    <w:rsid w:val="00AE33AE"/>
    <w:rsid w:val="00AE3F91"/>
    <w:rsid w:val="00AE7A8E"/>
    <w:rsid w:val="00AF2024"/>
    <w:rsid w:val="00B0053D"/>
    <w:rsid w:val="00B039E3"/>
    <w:rsid w:val="00B05D44"/>
    <w:rsid w:val="00B067B4"/>
    <w:rsid w:val="00B06D36"/>
    <w:rsid w:val="00B12BC4"/>
    <w:rsid w:val="00B14DBC"/>
    <w:rsid w:val="00B16839"/>
    <w:rsid w:val="00B21E65"/>
    <w:rsid w:val="00B22838"/>
    <w:rsid w:val="00B23B5C"/>
    <w:rsid w:val="00B30961"/>
    <w:rsid w:val="00B311CE"/>
    <w:rsid w:val="00B32B8B"/>
    <w:rsid w:val="00B33E95"/>
    <w:rsid w:val="00B35388"/>
    <w:rsid w:val="00B3720B"/>
    <w:rsid w:val="00B4325A"/>
    <w:rsid w:val="00B440E8"/>
    <w:rsid w:val="00B4477D"/>
    <w:rsid w:val="00B45D0B"/>
    <w:rsid w:val="00B53CE3"/>
    <w:rsid w:val="00B5558A"/>
    <w:rsid w:val="00B56513"/>
    <w:rsid w:val="00B64376"/>
    <w:rsid w:val="00B6570C"/>
    <w:rsid w:val="00B7401F"/>
    <w:rsid w:val="00B769CF"/>
    <w:rsid w:val="00B806C3"/>
    <w:rsid w:val="00B80D6F"/>
    <w:rsid w:val="00B84FCA"/>
    <w:rsid w:val="00B85693"/>
    <w:rsid w:val="00B9089F"/>
    <w:rsid w:val="00B91826"/>
    <w:rsid w:val="00B91AEE"/>
    <w:rsid w:val="00B93AA1"/>
    <w:rsid w:val="00B9533F"/>
    <w:rsid w:val="00B95744"/>
    <w:rsid w:val="00B95F5A"/>
    <w:rsid w:val="00B96EAD"/>
    <w:rsid w:val="00BA57FF"/>
    <w:rsid w:val="00BA5A03"/>
    <w:rsid w:val="00BA79F5"/>
    <w:rsid w:val="00BB1747"/>
    <w:rsid w:val="00BB276E"/>
    <w:rsid w:val="00BB3AB6"/>
    <w:rsid w:val="00BB766D"/>
    <w:rsid w:val="00BC007B"/>
    <w:rsid w:val="00BC0E52"/>
    <w:rsid w:val="00BC26BA"/>
    <w:rsid w:val="00BC35F8"/>
    <w:rsid w:val="00BC481B"/>
    <w:rsid w:val="00BC5A58"/>
    <w:rsid w:val="00BC77BE"/>
    <w:rsid w:val="00BD1191"/>
    <w:rsid w:val="00BD2771"/>
    <w:rsid w:val="00BD4CC5"/>
    <w:rsid w:val="00BD617C"/>
    <w:rsid w:val="00BE2F3F"/>
    <w:rsid w:val="00BF0D93"/>
    <w:rsid w:val="00BF376F"/>
    <w:rsid w:val="00BF46A6"/>
    <w:rsid w:val="00BF5454"/>
    <w:rsid w:val="00BF68CC"/>
    <w:rsid w:val="00BF71FB"/>
    <w:rsid w:val="00C0130E"/>
    <w:rsid w:val="00C04CFF"/>
    <w:rsid w:val="00C06545"/>
    <w:rsid w:val="00C10D50"/>
    <w:rsid w:val="00C134AF"/>
    <w:rsid w:val="00C158C1"/>
    <w:rsid w:val="00C168C3"/>
    <w:rsid w:val="00C220FC"/>
    <w:rsid w:val="00C23458"/>
    <w:rsid w:val="00C2374F"/>
    <w:rsid w:val="00C24DFA"/>
    <w:rsid w:val="00C24F9D"/>
    <w:rsid w:val="00C26845"/>
    <w:rsid w:val="00C30182"/>
    <w:rsid w:val="00C31B8E"/>
    <w:rsid w:val="00C31FC9"/>
    <w:rsid w:val="00C37A63"/>
    <w:rsid w:val="00C44411"/>
    <w:rsid w:val="00C46A36"/>
    <w:rsid w:val="00C47037"/>
    <w:rsid w:val="00C533B3"/>
    <w:rsid w:val="00C53625"/>
    <w:rsid w:val="00C53E9F"/>
    <w:rsid w:val="00C548BA"/>
    <w:rsid w:val="00C57784"/>
    <w:rsid w:val="00C602C1"/>
    <w:rsid w:val="00C60F5F"/>
    <w:rsid w:val="00C612FA"/>
    <w:rsid w:val="00C62CC7"/>
    <w:rsid w:val="00C63FC0"/>
    <w:rsid w:val="00C66392"/>
    <w:rsid w:val="00C67780"/>
    <w:rsid w:val="00C73D09"/>
    <w:rsid w:val="00C744F8"/>
    <w:rsid w:val="00C74C5E"/>
    <w:rsid w:val="00C75ECA"/>
    <w:rsid w:val="00C76CB5"/>
    <w:rsid w:val="00C82558"/>
    <w:rsid w:val="00C827A2"/>
    <w:rsid w:val="00C82B69"/>
    <w:rsid w:val="00C82CB3"/>
    <w:rsid w:val="00C86ACC"/>
    <w:rsid w:val="00C86E29"/>
    <w:rsid w:val="00C91B28"/>
    <w:rsid w:val="00C91F3A"/>
    <w:rsid w:val="00C93590"/>
    <w:rsid w:val="00C97021"/>
    <w:rsid w:val="00C971F8"/>
    <w:rsid w:val="00CA5446"/>
    <w:rsid w:val="00CB12E8"/>
    <w:rsid w:val="00CB1AC7"/>
    <w:rsid w:val="00CB218D"/>
    <w:rsid w:val="00CB3C63"/>
    <w:rsid w:val="00CB5625"/>
    <w:rsid w:val="00CB5797"/>
    <w:rsid w:val="00CC018F"/>
    <w:rsid w:val="00CC10FE"/>
    <w:rsid w:val="00CC1C17"/>
    <w:rsid w:val="00CC4F7F"/>
    <w:rsid w:val="00CD09E1"/>
    <w:rsid w:val="00CD1BB8"/>
    <w:rsid w:val="00CD4881"/>
    <w:rsid w:val="00CD74CC"/>
    <w:rsid w:val="00CE0F30"/>
    <w:rsid w:val="00CE1780"/>
    <w:rsid w:val="00CE4913"/>
    <w:rsid w:val="00CE66BD"/>
    <w:rsid w:val="00CF0671"/>
    <w:rsid w:val="00CF1033"/>
    <w:rsid w:val="00CF247A"/>
    <w:rsid w:val="00CF3997"/>
    <w:rsid w:val="00CF44AD"/>
    <w:rsid w:val="00CF4FC0"/>
    <w:rsid w:val="00CF7265"/>
    <w:rsid w:val="00D00ABE"/>
    <w:rsid w:val="00D03050"/>
    <w:rsid w:val="00D1072F"/>
    <w:rsid w:val="00D108A5"/>
    <w:rsid w:val="00D10BC8"/>
    <w:rsid w:val="00D10F57"/>
    <w:rsid w:val="00D14585"/>
    <w:rsid w:val="00D20EFF"/>
    <w:rsid w:val="00D215C3"/>
    <w:rsid w:val="00D24DE1"/>
    <w:rsid w:val="00D2551E"/>
    <w:rsid w:val="00D31324"/>
    <w:rsid w:val="00D36A05"/>
    <w:rsid w:val="00D36A58"/>
    <w:rsid w:val="00D42B44"/>
    <w:rsid w:val="00D53ED8"/>
    <w:rsid w:val="00D56A4E"/>
    <w:rsid w:val="00D604AC"/>
    <w:rsid w:val="00D612E3"/>
    <w:rsid w:val="00D6132D"/>
    <w:rsid w:val="00D64857"/>
    <w:rsid w:val="00D6493A"/>
    <w:rsid w:val="00D649A5"/>
    <w:rsid w:val="00D64E6E"/>
    <w:rsid w:val="00D650FA"/>
    <w:rsid w:val="00D66AEE"/>
    <w:rsid w:val="00D67875"/>
    <w:rsid w:val="00D719B9"/>
    <w:rsid w:val="00D71A2E"/>
    <w:rsid w:val="00D71E86"/>
    <w:rsid w:val="00D731C6"/>
    <w:rsid w:val="00D73F61"/>
    <w:rsid w:val="00D745C5"/>
    <w:rsid w:val="00D75327"/>
    <w:rsid w:val="00D76831"/>
    <w:rsid w:val="00D77CD1"/>
    <w:rsid w:val="00D80BD1"/>
    <w:rsid w:val="00D80C36"/>
    <w:rsid w:val="00D81A32"/>
    <w:rsid w:val="00D86EE1"/>
    <w:rsid w:val="00D95205"/>
    <w:rsid w:val="00D95E90"/>
    <w:rsid w:val="00D96126"/>
    <w:rsid w:val="00D9667B"/>
    <w:rsid w:val="00DA2AC4"/>
    <w:rsid w:val="00DA2FD5"/>
    <w:rsid w:val="00DA74C2"/>
    <w:rsid w:val="00DB4B1C"/>
    <w:rsid w:val="00DB5085"/>
    <w:rsid w:val="00DB619F"/>
    <w:rsid w:val="00DC1062"/>
    <w:rsid w:val="00DC132C"/>
    <w:rsid w:val="00DC2A70"/>
    <w:rsid w:val="00DC2B3A"/>
    <w:rsid w:val="00DD1523"/>
    <w:rsid w:val="00DD4191"/>
    <w:rsid w:val="00DD43F0"/>
    <w:rsid w:val="00DD44DE"/>
    <w:rsid w:val="00DE09AB"/>
    <w:rsid w:val="00DE4A3F"/>
    <w:rsid w:val="00DE5A99"/>
    <w:rsid w:val="00DF3881"/>
    <w:rsid w:val="00DF4367"/>
    <w:rsid w:val="00DF7291"/>
    <w:rsid w:val="00DF74E5"/>
    <w:rsid w:val="00E0574A"/>
    <w:rsid w:val="00E05D9D"/>
    <w:rsid w:val="00E1243D"/>
    <w:rsid w:val="00E12742"/>
    <w:rsid w:val="00E146D4"/>
    <w:rsid w:val="00E21D37"/>
    <w:rsid w:val="00E220ED"/>
    <w:rsid w:val="00E22B44"/>
    <w:rsid w:val="00E24F20"/>
    <w:rsid w:val="00E253AA"/>
    <w:rsid w:val="00E3073F"/>
    <w:rsid w:val="00E30ACD"/>
    <w:rsid w:val="00E32735"/>
    <w:rsid w:val="00E36122"/>
    <w:rsid w:val="00E44431"/>
    <w:rsid w:val="00E44B88"/>
    <w:rsid w:val="00E44F84"/>
    <w:rsid w:val="00E45809"/>
    <w:rsid w:val="00E65096"/>
    <w:rsid w:val="00E66E36"/>
    <w:rsid w:val="00E702ED"/>
    <w:rsid w:val="00E709A4"/>
    <w:rsid w:val="00E712FE"/>
    <w:rsid w:val="00E772DB"/>
    <w:rsid w:val="00E81367"/>
    <w:rsid w:val="00E8185F"/>
    <w:rsid w:val="00E82A45"/>
    <w:rsid w:val="00E86012"/>
    <w:rsid w:val="00E86BAB"/>
    <w:rsid w:val="00E94E10"/>
    <w:rsid w:val="00E95140"/>
    <w:rsid w:val="00E96743"/>
    <w:rsid w:val="00E96A42"/>
    <w:rsid w:val="00EA49C5"/>
    <w:rsid w:val="00EA4DC8"/>
    <w:rsid w:val="00EA5820"/>
    <w:rsid w:val="00EA6279"/>
    <w:rsid w:val="00EA6C41"/>
    <w:rsid w:val="00EA6D75"/>
    <w:rsid w:val="00EB3574"/>
    <w:rsid w:val="00EB3D66"/>
    <w:rsid w:val="00EB5027"/>
    <w:rsid w:val="00EB75F6"/>
    <w:rsid w:val="00EC1836"/>
    <w:rsid w:val="00EC38F9"/>
    <w:rsid w:val="00EC3990"/>
    <w:rsid w:val="00EC484B"/>
    <w:rsid w:val="00EC7E58"/>
    <w:rsid w:val="00ED0A58"/>
    <w:rsid w:val="00ED15FA"/>
    <w:rsid w:val="00ED27E8"/>
    <w:rsid w:val="00ED5C9F"/>
    <w:rsid w:val="00EE3AFB"/>
    <w:rsid w:val="00EE6E9A"/>
    <w:rsid w:val="00EE7DA5"/>
    <w:rsid w:val="00EF2AC4"/>
    <w:rsid w:val="00EF397E"/>
    <w:rsid w:val="00EF41CD"/>
    <w:rsid w:val="00EF51CE"/>
    <w:rsid w:val="00F05AE9"/>
    <w:rsid w:val="00F05D6D"/>
    <w:rsid w:val="00F06F68"/>
    <w:rsid w:val="00F12EF5"/>
    <w:rsid w:val="00F14C5F"/>
    <w:rsid w:val="00F15E9D"/>
    <w:rsid w:val="00F24C2D"/>
    <w:rsid w:val="00F252C3"/>
    <w:rsid w:val="00F25584"/>
    <w:rsid w:val="00F27D59"/>
    <w:rsid w:val="00F27F7F"/>
    <w:rsid w:val="00F302B9"/>
    <w:rsid w:val="00F30421"/>
    <w:rsid w:val="00F329BF"/>
    <w:rsid w:val="00F32A81"/>
    <w:rsid w:val="00F35583"/>
    <w:rsid w:val="00F362C3"/>
    <w:rsid w:val="00F37E20"/>
    <w:rsid w:val="00F40C82"/>
    <w:rsid w:val="00F4197F"/>
    <w:rsid w:val="00F45DFF"/>
    <w:rsid w:val="00F46998"/>
    <w:rsid w:val="00F5382D"/>
    <w:rsid w:val="00F53D9C"/>
    <w:rsid w:val="00F5462B"/>
    <w:rsid w:val="00F57205"/>
    <w:rsid w:val="00F61386"/>
    <w:rsid w:val="00F634AD"/>
    <w:rsid w:val="00F63677"/>
    <w:rsid w:val="00F66396"/>
    <w:rsid w:val="00F757A7"/>
    <w:rsid w:val="00F75B81"/>
    <w:rsid w:val="00F77CF8"/>
    <w:rsid w:val="00F804C4"/>
    <w:rsid w:val="00F80C7E"/>
    <w:rsid w:val="00F82F83"/>
    <w:rsid w:val="00F835AE"/>
    <w:rsid w:val="00F836A4"/>
    <w:rsid w:val="00F84506"/>
    <w:rsid w:val="00F873AC"/>
    <w:rsid w:val="00F90C64"/>
    <w:rsid w:val="00F92B30"/>
    <w:rsid w:val="00F933B9"/>
    <w:rsid w:val="00F94674"/>
    <w:rsid w:val="00F94919"/>
    <w:rsid w:val="00F94A59"/>
    <w:rsid w:val="00FA25B6"/>
    <w:rsid w:val="00FA2FAF"/>
    <w:rsid w:val="00FA54F6"/>
    <w:rsid w:val="00FA5E94"/>
    <w:rsid w:val="00FA64B1"/>
    <w:rsid w:val="00FA70F3"/>
    <w:rsid w:val="00FA71CD"/>
    <w:rsid w:val="00FB0453"/>
    <w:rsid w:val="00FB0C07"/>
    <w:rsid w:val="00FB298D"/>
    <w:rsid w:val="00FC1439"/>
    <w:rsid w:val="00FC3F65"/>
    <w:rsid w:val="00FC71DA"/>
    <w:rsid w:val="00FC724B"/>
    <w:rsid w:val="00FC7668"/>
    <w:rsid w:val="00FC7910"/>
    <w:rsid w:val="00FD01E0"/>
    <w:rsid w:val="00FE1627"/>
    <w:rsid w:val="00FE1DF9"/>
    <w:rsid w:val="00FE6770"/>
    <w:rsid w:val="00FE7E42"/>
    <w:rsid w:val="00FF092F"/>
    <w:rsid w:val="00FF0DA7"/>
    <w:rsid w:val="00FF44E0"/>
    <w:rsid w:val="00FF5928"/>
    <w:rsid w:val="00FF6C72"/>
    <w:rsid w:val="02A353E1"/>
    <w:rsid w:val="038E5244"/>
    <w:rsid w:val="072715B4"/>
    <w:rsid w:val="0E536488"/>
    <w:rsid w:val="0F8E4F6C"/>
    <w:rsid w:val="12E143BF"/>
    <w:rsid w:val="132228E6"/>
    <w:rsid w:val="132C5AE5"/>
    <w:rsid w:val="153E6DFE"/>
    <w:rsid w:val="17C67924"/>
    <w:rsid w:val="17DF37C1"/>
    <w:rsid w:val="1A0C526C"/>
    <w:rsid w:val="1B5A57C5"/>
    <w:rsid w:val="1B88138D"/>
    <w:rsid w:val="1C235CFC"/>
    <w:rsid w:val="1C393474"/>
    <w:rsid w:val="1C626D9C"/>
    <w:rsid w:val="1D8921BF"/>
    <w:rsid w:val="1E9F63B6"/>
    <w:rsid w:val="1EAC20AB"/>
    <w:rsid w:val="1F8F0033"/>
    <w:rsid w:val="20270F45"/>
    <w:rsid w:val="20C41A43"/>
    <w:rsid w:val="21464D54"/>
    <w:rsid w:val="21492215"/>
    <w:rsid w:val="2186466B"/>
    <w:rsid w:val="21893DCC"/>
    <w:rsid w:val="245F19BC"/>
    <w:rsid w:val="25856C36"/>
    <w:rsid w:val="26AD38E3"/>
    <w:rsid w:val="278C1EB7"/>
    <w:rsid w:val="27D02908"/>
    <w:rsid w:val="27D556DF"/>
    <w:rsid w:val="289A6ADC"/>
    <w:rsid w:val="28A300A0"/>
    <w:rsid w:val="2B386221"/>
    <w:rsid w:val="2B4754FB"/>
    <w:rsid w:val="2BA518E1"/>
    <w:rsid w:val="2BB04FEA"/>
    <w:rsid w:val="2D7E65A2"/>
    <w:rsid w:val="2F4763D4"/>
    <w:rsid w:val="2F552AC2"/>
    <w:rsid w:val="2F84180C"/>
    <w:rsid w:val="2FA26A13"/>
    <w:rsid w:val="2FC54BC7"/>
    <w:rsid w:val="30F074D3"/>
    <w:rsid w:val="3249090A"/>
    <w:rsid w:val="33F079B3"/>
    <w:rsid w:val="34E4777F"/>
    <w:rsid w:val="358402B9"/>
    <w:rsid w:val="35B93273"/>
    <w:rsid w:val="35C65D6C"/>
    <w:rsid w:val="36B203D9"/>
    <w:rsid w:val="36C2526A"/>
    <w:rsid w:val="378C6481"/>
    <w:rsid w:val="37DE2CC7"/>
    <w:rsid w:val="38572D0C"/>
    <w:rsid w:val="39196525"/>
    <w:rsid w:val="3A1424A1"/>
    <w:rsid w:val="3AC968B1"/>
    <w:rsid w:val="3B394AEE"/>
    <w:rsid w:val="3B6D0F4A"/>
    <w:rsid w:val="3BC93ECF"/>
    <w:rsid w:val="3C0019A1"/>
    <w:rsid w:val="3C7056CD"/>
    <w:rsid w:val="3C9F5583"/>
    <w:rsid w:val="3E243139"/>
    <w:rsid w:val="3EDC7871"/>
    <w:rsid w:val="400C02B7"/>
    <w:rsid w:val="44AA183B"/>
    <w:rsid w:val="44E3011D"/>
    <w:rsid w:val="45B921BC"/>
    <w:rsid w:val="4759349C"/>
    <w:rsid w:val="49FD5D9F"/>
    <w:rsid w:val="4A176DCD"/>
    <w:rsid w:val="4C6729B1"/>
    <w:rsid w:val="4D7673A4"/>
    <w:rsid w:val="4E611CEC"/>
    <w:rsid w:val="4F2C259D"/>
    <w:rsid w:val="522E6293"/>
    <w:rsid w:val="535B5A45"/>
    <w:rsid w:val="55380614"/>
    <w:rsid w:val="57B057AC"/>
    <w:rsid w:val="59B15C5C"/>
    <w:rsid w:val="5CE96606"/>
    <w:rsid w:val="5E5977C7"/>
    <w:rsid w:val="5EA61E00"/>
    <w:rsid w:val="616217DC"/>
    <w:rsid w:val="62F83BF9"/>
    <w:rsid w:val="639E1C8C"/>
    <w:rsid w:val="64AB130C"/>
    <w:rsid w:val="650A6CFE"/>
    <w:rsid w:val="66E3417D"/>
    <w:rsid w:val="679F5524"/>
    <w:rsid w:val="67AE2B2E"/>
    <w:rsid w:val="67AE7F51"/>
    <w:rsid w:val="69B55270"/>
    <w:rsid w:val="69CB177C"/>
    <w:rsid w:val="6B5E25C8"/>
    <w:rsid w:val="6C00333F"/>
    <w:rsid w:val="6C080535"/>
    <w:rsid w:val="6CA65B71"/>
    <w:rsid w:val="6E2E1D2B"/>
    <w:rsid w:val="6EE51997"/>
    <w:rsid w:val="6F764C1C"/>
    <w:rsid w:val="704762AF"/>
    <w:rsid w:val="72817D52"/>
    <w:rsid w:val="742A2407"/>
    <w:rsid w:val="753624A5"/>
    <w:rsid w:val="757F04DE"/>
    <w:rsid w:val="760F5D0D"/>
    <w:rsid w:val="779856AD"/>
    <w:rsid w:val="78047581"/>
    <w:rsid w:val="795A1163"/>
    <w:rsid w:val="79B76C11"/>
    <w:rsid w:val="79EE2FB2"/>
    <w:rsid w:val="7B046B8E"/>
    <w:rsid w:val="7BC877C0"/>
    <w:rsid w:val="7CBA6668"/>
    <w:rsid w:val="7F09092F"/>
    <w:rsid w:val="7F3E3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4"/>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6"/>
    <w:autoRedefine/>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1"/>
    <w:autoRedefine/>
    <w:qFormat/>
    <w:uiPriority w:val="0"/>
    <w:pPr>
      <w:keepNext/>
      <w:keepLines/>
      <w:spacing w:before="280" w:after="290" w:line="376" w:lineRule="auto"/>
      <w:outlineLvl w:val="3"/>
    </w:pPr>
    <w:rPr>
      <w:b/>
      <w:bCs/>
      <w:sz w:val="28"/>
      <w:szCs w:val="28"/>
    </w:rPr>
  </w:style>
  <w:style w:type="character" w:default="1" w:styleId="23">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52"/>
    <w:autoRedefine/>
    <w:qFormat/>
    <w:uiPriority w:val="0"/>
    <w:pPr>
      <w:spacing w:after="120"/>
    </w:pPr>
    <w:rPr>
      <w:rFonts w:ascii="@微软简标宋" w:hAnsi="@微软简标宋" w:eastAsia="@微软简标宋" w:cs="@微软简标宋"/>
      <w:szCs w:val="24"/>
      <w:lang w:val="zh-CN"/>
    </w:rPr>
  </w:style>
  <w:style w:type="paragraph" w:styleId="7">
    <w:name w:val="Normal Indent"/>
    <w:basedOn w:val="1"/>
    <w:autoRedefine/>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3"/>
    <w:autoRedefine/>
    <w:qFormat/>
    <w:uiPriority w:val="0"/>
    <w:pPr>
      <w:jc w:val="left"/>
    </w:pPr>
    <w:rPr>
      <w:rFonts w:ascii="Arial" w:hAnsi="Arial" w:eastAsia="黑体" w:cs="Arial"/>
    </w:rPr>
  </w:style>
  <w:style w:type="paragraph" w:styleId="9">
    <w:name w:val="Body Text Indent"/>
    <w:basedOn w:val="1"/>
    <w:autoRedefine/>
    <w:qFormat/>
    <w:uiPriority w:val="0"/>
    <w:pPr>
      <w:spacing w:after="120"/>
      <w:ind w:left="420" w:leftChars="200"/>
    </w:pPr>
  </w:style>
  <w:style w:type="paragraph" w:styleId="10">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1">
    <w:name w:val="Plain Text"/>
    <w:basedOn w:val="1"/>
    <w:link w:val="32"/>
    <w:autoRedefine/>
    <w:qFormat/>
    <w:uiPriority w:val="99"/>
    <w:rPr>
      <w:rFonts w:ascii="宋体" w:hAnsi="Courier New" w:eastAsiaTheme="minorEastAsia" w:cstheme="minorBidi"/>
      <w:szCs w:val="22"/>
    </w:rPr>
  </w:style>
  <w:style w:type="paragraph" w:styleId="12">
    <w:name w:val="Date"/>
    <w:basedOn w:val="1"/>
    <w:next w:val="1"/>
    <w:link w:val="39"/>
    <w:autoRedefine/>
    <w:qFormat/>
    <w:uiPriority w:val="0"/>
    <w:rPr>
      <w:rFonts w:ascii="Arial" w:hAnsi="Arial" w:eastAsia="宋体" w:cs="Arial"/>
      <w:b/>
      <w:sz w:val="28"/>
    </w:rPr>
  </w:style>
  <w:style w:type="paragraph" w:styleId="13">
    <w:name w:val="Balloon Text"/>
    <w:basedOn w:val="1"/>
    <w:link w:val="26"/>
    <w:autoRedefine/>
    <w:semiHidden/>
    <w:unhideWhenUsed/>
    <w:qFormat/>
    <w:uiPriority w:val="99"/>
    <w:rPr>
      <w:sz w:val="18"/>
      <w:szCs w:val="18"/>
    </w:rPr>
  </w:style>
  <w:style w:type="paragraph" w:styleId="14">
    <w:name w:val="footer"/>
    <w:basedOn w:val="1"/>
    <w:link w:val="31"/>
    <w:autoRedefine/>
    <w:unhideWhenUsed/>
    <w:qFormat/>
    <w:uiPriority w:val="99"/>
    <w:pPr>
      <w:tabs>
        <w:tab w:val="center" w:pos="4153"/>
        <w:tab w:val="right" w:pos="8306"/>
      </w:tabs>
      <w:snapToGrid w:val="0"/>
      <w:jc w:val="left"/>
    </w:pPr>
    <w:rPr>
      <w:sz w:val="18"/>
      <w:szCs w:val="18"/>
    </w:rPr>
  </w:style>
  <w:style w:type="paragraph" w:styleId="15">
    <w:name w:val="header"/>
    <w:basedOn w:val="1"/>
    <w:link w:val="30"/>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7">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8">
    <w:name w:val="Normal (Web)"/>
    <w:basedOn w:val="1"/>
    <w:autoRedefine/>
    <w:qFormat/>
    <w:uiPriority w:val="0"/>
    <w:pPr>
      <w:spacing w:before="100" w:beforeAutospacing="1" w:after="100" w:afterAutospacing="1"/>
      <w:jc w:val="left"/>
    </w:pPr>
    <w:rPr>
      <w:rFonts w:cs="Times New Roman"/>
      <w:kern w:val="0"/>
      <w:sz w:val="24"/>
    </w:rPr>
  </w:style>
  <w:style w:type="paragraph" w:styleId="19">
    <w:name w:val="index 1"/>
    <w:basedOn w:val="1"/>
    <w:next w:val="1"/>
    <w:autoRedefine/>
    <w:qFormat/>
    <w:uiPriority w:val="0"/>
    <w:pPr>
      <w:jc w:val="center"/>
    </w:pPr>
    <w:rPr>
      <w:rFonts w:ascii="Arial" w:hAnsi="Arial" w:eastAsia="Arial" w:cs="Arial"/>
      <w:b/>
      <w:bCs/>
      <w:sz w:val="28"/>
    </w:rPr>
  </w:style>
  <w:style w:type="paragraph" w:styleId="20">
    <w:name w:val="Body Text First Indent"/>
    <w:basedOn w:val="2"/>
    <w:autoRedefine/>
    <w:unhideWhenUsed/>
    <w:qFormat/>
    <w:uiPriority w:val="99"/>
    <w:pPr>
      <w:ind w:firstLine="420" w:firstLineChars="100"/>
    </w:pPr>
  </w:style>
  <w:style w:type="table" w:styleId="22">
    <w:name w:val="Table Grid"/>
    <w:basedOn w:val="21"/>
    <w:autoRedefine/>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autoRedefine/>
    <w:qFormat/>
    <w:uiPriority w:val="0"/>
    <w:rPr>
      <w:b/>
      <w:bCs/>
    </w:rPr>
  </w:style>
  <w:style w:type="character" w:styleId="25">
    <w:name w:val="Hyperlink"/>
    <w:basedOn w:val="23"/>
    <w:autoRedefine/>
    <w:unhideWhenUsed/>
    <w:qFormat/>
    <w:uiPriority w:val="99"/>
    <w:rPr>
      <w:color w:val="0000FF" w:themeColor="hyperlink"/>
      <w:u w:val="single"/>
      <w14:textFill>
        <w14:solidFill>
          <w14:schemeClr w14:val="hlink"/>
        </w14:solidFill>
      </w14:textFill>
    </w:rPr>
  </w:style>
  <w:style w:type="character" w:customStyle="1" w:styleId="26">
    <w:name w:val="批注框文本 Char"/>
    <w:basedOn w:val="23"/>
    <w:link w:val="13"/>
    <w:autoRedefine/>
    <w:semiHidden/>
    <w:qFormat/>
    <w:uiPriority w:val="99"/>
    <w:rPr>
      <w:rFonts w:ascii="@仿宋_GB2312" w:hAnsi="@仿宋_GB2312" w:eastAsia="@仿宋_GB2312" w:cs="@仿宋_GB2312"/>
      <w:sz w:val="18"/>
      <w:szCs w:val="18"/>
    </w:rPr>
  </w:style>
  <w:style w:type="paragraph" w:customStyle="1" w:styleId="27">
    <w:name w:val="正文（缩进）"/>
    <w:basedOn w:val="1"/>
    <w:autoRedefine/>
    <w:qFormat/>
    <w:uiPriority w:val="0"/>
    <w:pPr>
      <w:widowControl/>
      <w:spacing w:before="156" w:after="156"/>
      <w:ind w:firstLine="480" w:firstLineChars="200"/>
      <w:jc w:val="left"/>
    </w:pPr>
    <w:rPr>
      <w:kern w:val="0"/>
      <w:sz w:val="24"/>
      <w:szCs w:val="24"/>
    </w:rPr>
  </w:style>
  <w:style w:type="paragraph" w:customStyle="1" w:styleId="28">
    <w:name w:val="xl31"/>
    <w:basedOn w:val="1"/>
    <w:autoRedefine/>
    <w:qFormat/>
    <w:uiPriority w:val="0"/>
    <w:pPr>
      <w:widowControl/>
      <w:spacing w:before="100" w:beforeAutospacing="1" w:after="100" w:afterAutospacing="1"/>
      <w:jc w:val="center"/>
    </w:pPr>
    <w:rPr>
      <w:b/>
      <w:bCs/>
      <w:kern w:val="0"/>
      <w:sz w:val="28"/>
      <w:szCs w:val="28"/>
    </w:rPr>
  </w:style>
  <w:style w:type="paragraph" w:customStyle="1" w:styleId="29">
    <w:name w:val="D&amp;L"/>
    <w:basedOn w:val="15"/>
    <w:autoRedefine/>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0">
    <w:name w:val="页眉 Char"/>
    <w:basedOn w:val="23"/>
    <w:link w:val="15"/>
    <w:autoRedefine/>
    <w:qFormat/>
    <w:uiPriority w:val="0"/>
    <w:rPr>
      <w:rFonts w:ascii="@仿宋_GB2312" w:hAnsi="@仿宋_GB2312" w:eastAsia="@仿宋_GB2312" w:cs="@仿宋_GB2312"/>
      <w:sz w:val="18"/>
      <w:szCs w:val="18"/>
    </w:rPr>
  </w:style>
  <w:style w:type="character" w:customStyle="1" w:styleId="31">
    <w:name w:val="页脚 Char"/>
    <w:basedOn w:val="23"/>
    <w:link w:val="14"/>
    <w:autoRedefine/>
    <w:qFormat/>
    <w:uiPriority w:val="99"/>
    <w:rPr>
      <w:rFonts w:ascii="@仿宋_GB2312" w:hAnsi="@仿宋_GB2312" w:eastAsia="@仿宋_GB2312" w:cs="@仿宋_GB2312"/>
      <w:sz w:val="18"/>
      <w:szCs w:val="18"/>
    </w:rPr>
  </w:style>
  <w:style w:type="character" w:customStyle="1" w:styleId="32">
    <w:name w:val="纯文本 Char"/>
    <w:link w:val="11"/>
    <w:autoRedefine/>
    <w:qFormat/>
    <w:uiPriority w:val="0"/>
    <w:rPr>
      <w:rFonts w:ascii="宋体" w:hAnsi="Courier New"/>
    </w:rPr>
  </w:style>
  <w:style w:type="character" w:customStyle="1" w:styleId="33">
    <w:name w:val="纯文本 字符1"/>
    <w:basedOn w:val="23"/>
    <w:autoRedefine/>
    <w:semiHidden/>
    <w:qFormat/>
    <w:uiPriority w:val="99"/>
    <w:rPr>
      <w:rFonts w:hAnsi="Courier New" w:cs="Courier New" w:asciiTheme="minorEastAsia"/>
      <w:szCs w:val="20"/>
    </w:rPr>
  </w:style>
  <w:style w:type="character" w:customStyle="1" w:styleId="34">
    <w:name w:val="未处理的提及1"/>
    <w:basedOn w:val="23"/>
    <w:autoRedefine/>
    <w:semiHidden/>
    <w:unhideWhenUsed/>
    <w:qFormat/>
    <w:uiPriority w:val="99"/>
    <w:rPr>
      <w:color w:val="605E5C"/>
      <w:shd w:val="clear" w:color="auto" w:fill="E1DFDD"/>
    </w:rPr>
  </w:style>
  <w:style w:type="paragraph" w:styleId="35">
    <w:name w:val="List Paragraph"/>
    <w:basedOn w:val="1"/>
    <w:autoRedefine/>
    <w:qFormat/>
    <w:uiPriority w:val="34"/>
    <w:pPr>
      <w:ind w:firstLine="420" w:firstLineChars="200"/>
    </w:pPr>
  </w:style>
  <w:style w:type="paragraph" w:customStyle="1" w:styleId="36">
    <w:name w:val="Char Char Char Char Char Char Char1 Char"/>
    <w:basedOn w:val="1"/>
    <w:autoRedefine/>
    <w:qFormat/>
    <w:uiPriority w:val="0"/>
    <w:rPr>
      <w:rFonts w:ascii="Arial" w:hAnsi="Arial" w:eastAsia="宋体" w:cs="Arial"/>
      <w:sz w:val="24"/>
    </w:rPr>
  </w:style>
  <w:style w:type="table" w:customStyle="1" w:styleId="37">
    <w:name w:val="网格表 1 浅色1"/>
    <w:basedOn w:val="21"/>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38">
    <w:name w:val="日期 字符"/>
    <w:basedOn w:val="23"/>
    <w:autoRedefine/>
    <w:semiHidden/>
    <w:qFormat/>
    <w:uiPriority w:val="99"/>
    <w:rPr>
      <w:rFonts w:ascii="@仿宋_GB2312" w:hAnsi="@仿宋_GB2312" w:eastAsia="@仿宋_GB2312" w:cs="@仿宋_GB2312"/>
      <w:szCs w:val="20"/>
    </w:rPr>
  </w:style>
  <w:style w:type="character" w:customStyle="1" w:styleId="39">
    <w:name w:val="日期 Char"/>
    <w:link w:val="12"/>
    <w:autoRedefine/>
    <w:qFormat/>
    <w:uiPriority w:val="0"/>
    <w:rPr>
      <w:rFonts w:ascii="Arial" w:hAnsi="Arial" w:eastAsia="宋体" w:cs="Arial"/>
      <w:b/>
      <w:sz w:val="28"/>
      <w:szCs w:val="20"/>
    </w:rPr>
  </w:style>
  <w:style w:type="character" w:customStyle="1" w:styleId="40">
    <w:name w:val="纯文本 Char1"/>
    <w:link w:val="41"/>
    <w:autoRedefine/>
    <w:qFormat/>
    <w:locked/>
    <w:uiPriority w:val="0"/>
    <w:rPr>
      <w:rFonts w:ascii="Arial" w:hAnsi="Arial" w:eastAsia="Arial"/>
      <w:kern w:val="2"/>
      <w:sz w:val="21"/>
      <w:lang w:val="en-US" w:eastAsia="zh-CN" w:bidi="ar-SA"/>
    </w:rPr>
  </w:style>
  <w:style w:type="paragraph" w:customStyle="1" w:styleId="41">
    <w:name w:val="纯文本1"/>
    <w:basedOn w:val="1"/>
    <w:link w:val="40"/>
    <w:autoRedefine/>
    <w:qFormat/>
    <w:uiPriority w:val="0"/>
    <w:rPr>
      <w:rFonts w:ascii="Arial" w:hAnsi="Arial" w:eastAsia="Arial" w:cstheme="minorBidi"/>
    </w:rPr>
  </w:style>
  <w:style w:type="character" w:customStyle="1" w:styleId="42">
    <w:name w:val="批注文字 Char"/>
    <w:basedOn w:val="23"/>
    <w:autoRedefine/>
    <w:semiHidden/>
    <w:qFormat/>
    <w:uiPriority w:val="99"/>
    <w:rPr>
      <w:rFonts w:ascii="@仿宋_GB2312" w:hAnsi="@仿宋_GB2312" w:eastAsia="@仿宋_GB2312" w:cs="@仿宋_GB2312"/>
      <w:szCs w:val="20"/>
    </w:rPr>
  </w:style>
  <w:style w:type="character" w:customStyle="1" w:styleId="43">
    <w:name w:val="批注文字 Char1"/>
    <w:link w:val="8"/>
    <w:autoRedefine/>
    <w:qFormat/>
    <w:uiPriority w:val="0"/>
    <w:rPr>
      <w:rFonts w:ascii="Arial" w:hAnsi="Arial" w:eastAsia="黑体" w:cs="Arial"/>
      <w:szCs w:val="20"/>
    </w:rPr>
  </w:style>
  <w:style w:type="character" w:customStyle="1" w:styleId="44">
    <w:name w:val="标题 1 Char"/>
    <w:basedOn w:val="23"/>
    <w:link w:val="3"/>
    <w:autoRedefine/>
    <w:qFormat/>
    <w:uiPriority w:val="9"/>
    <w:rPr>
      <w:rFonts w:ascii="@仿宋_GB2312" w:hAnsi="@仿宋_GB2312" w:eastAsia="@仿宋_GB2312" w:cs="@仿宋_GB2312"/>
      <w:b/>
      <w:bCs/>
      <w:kern w:val="44"/>
      <w:sz w:val="44"/>
      <w:szCs w:val="44"/>
    </w:rPr>
  </w:style>
  <w:style w:type="paragraph" w:customStyle="1" w:styleId="45">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6">
    <w:name w:val="标题 3 Char"/>
    <w:basedOn w:val="23"/>
    <w:link w:val="5"/>
    <w:autoRedefine/>
    <w:semiHidden/>
    <w:qFormat/>
    <w:uiPriority w:val="9"/>
    <w:rPr>
      <w:rFonts w:ascii="@仿宋_GB2312" w:hAnsi="@仿宋_GB2312" w:eastAsia="@仿宋_GB2312" w:cs="@仿宋_GB2312"/>
      <w:b/>
      <w:bCs/>
      <w:sz w:val="32"/>
      <w:szCs w:val="32"/>
    </w:rPr>
  </w:style>
  <w:style w:type="character" w:customStyle="1" w:styleId="47">
    <w:name w:val="fontstyle01"/>
    <w:basedOn w:val="23"/>
    <w:autoRedefine/>
    <w:qFormat/>
    <w:uiPriority w:val="0"/>
    <w:rPr>
      <w:rFonts w:hint="eastAsia" w:ascii="宋体" w:hAnsi="宋体" w:eastAsia="宋体"/>
      <w:color w:val="000000"/>
      <w:sz w:val="22"/>
      <w:szCs w:val="22"/>
    </w:rPr>
  </w:style>
  <w:style w:type="character" w:customStyle="1" w:styleId="48">
    <w:name w:val="fontstyle21"/>
    <w:basedOn w:val="23"/>
    <w:autoRedefine/>
    <w:qFormat/>
    <w:uiPriority w:val="0"/>
    <w:rPr>
      <w:rFonts w:hint="default" w:ascii="TimesNewRomanPSMT" w:hAnsi="TimesNewRomanPSMT"/>
      <w:color w:val="000000"/>
      <w:sz w:val="22"/>
      <w:szCs w:val="22"/>
    </w:rPr>
  </w:style>
  <w:style w:type="character" w:customStyle="1" w:styleId="49">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50">
    <w:name w:val="标题 4 字符"/>
    <w:basedOn w:val="23"/>
    <w:autoRedefine/>
    <w:semiHidden/>
    <w:qFormat/>
    <w:uiPriority w:val="9"/>
    <w:rPr>
      <w:rFonts w:asciiTheme="majorHAnsi" w:hAnsiTheme="majorHAnsi" w:eastAsiaTheme="majorEastAsia" w:cstheme="majorBidi"/>
      <w:b/>
      <w:bCs/>
      <w:sz w:val="28"/>
      <w:szCs w:val="28"/>
    </w:rPr>
  </w:style>
  <w:style w:type="character" w:customStyle="1" w:styleId="51">
    <w:name w:val="标题 4 Char"/>
    <w:link w:val="6"/>
    <w:autoRedefine/>
    <w:qFormat/>
    <w:uiPriority w:val="0"/>
    <w:rPr>
      <w:rFonts w:ascii="@仿宋_GB2312" w:hAnsi="@仿宋_GB2312" w:eastAsia="@仿宋_GB2312" w:cs="@仿宋_GB2312"/>
      <w:b/>
      <w:bCs/>
      <w:sz w:val="28"/>
      <w:szCs w:val="28"/>
    </w:rPr>
  </w:style>
  <w:style w:type="character" w:customStyle="1" w:styleId="52">
    <w:name w:val="正文文本 Char"/>
    <w:basedOn w:val="23"/>
    <w:link w:val="2"/>
    <w:autoRedefine/>
    <w:qFormat/>
    <w:uiPriority w:val="0"/>
    <w:rPr>
      <w:rFonts w:ascii="@微软简标宋" w:hAnsi="@微软简标宋" w:eastAsia="@微软简标宋" w:cs="@微软简标宋"/>
      <w:szCs w:val="24"/>
      <w:lang w:val="zh-CN" w:eastAsia="zh-CN"/>
    </w:rPr>
  </w:style>
  <w:style w:type="table" w:customStyle="1" w:styleId="53">
    <w:name w:val="Table Normal"/>
    <w:autoRedefine/>
    <w:semiHidden/>
    <w:unhideWhenUsed/>
    <w:qFormat/>
    <w:uiPriority w:val="0"/>
    <w:tblPr>
      <w:tblCellMar>
        <w:top w:w="0" w:type="dxa"/>
        <w:left w:w="0" w:type="dxa"/>
        <w:bottom w:w="0" w:type="dxa"/>
        <w:right w:w="0" w:type="dxa"/>
      </w:tblCellMar>
    </w:tblPr>
  </w:style>
  <w:style w:type="paragraph" w:customStyle="1" w:styleId="54">
    <w:name w:val="Table Text"/>
    <w:basedOn w:val="1"/>
    <w:autoRedefine/>
    <w:semiHidden/>
    <w:qFormat/>
    <w:uiPriority w:val="0"/>
    <w:rPr>
      <w:rFonts w:ascii="Arial" w:hAnsi="Arial" w:eastAsia="Arial" w:cs="Arial"/>
      <w:sz w:val="21"/>
      <w:szCs w:val="21"/>
      <w:lang w:val="en-US" w:eastAsia="en-US" w:bidi="ar-SA"/>
    </w:rPr>
  </w:style>
  <w:style w:type="paragraph" w:customStyle="1" w:styleId="55">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6">
    <w:name w:val="列出段落1"/>
    <w:basedOn w:val="1"/>
    <w:autoRedefine/>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5AE9DD-6CAC-49B8-A987-8523A9411FE7}">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54</Pages>
  <Words>23093</Words>
  <Characters>24129</Characters>
  <Lines>222</Lines>
  <Paragraphs>62</Paragraphs>
  <TotalTime>0</TotalTime>
  <ScaleCrop>false</ScaleCrop>
  <LinksUpToDate>false</LinksUpToDate>
  <CharactersWithSpaces>27873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章景忠</cp:lastModifiedBy>
  <cp:lastPrinted>2019-12-07T15:21:00Z</cp:lastPrinted>
  <dcterms:modified xsi:type="dcterms:W3CDTF">2024-05-23T10:13:21Z</dcterms:modified>
  <cp:revision>2888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25EFA31FA3D548EFB577499E32833EE0_12</vt:lpwstr>
  </property>
</Properties>
</file>